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440" w:firstLineChars="100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乌海市能源局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方正小标宋简体"/>
          <w:sz w:val="17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/>
          <w:sz w:val="44"/>
          <w:szCs w:val="44"/>
        </w:rPr>
        <w:t>年政府信息公开工作年度报告</w:t>
      </w:r>
      <w:bookmarkStart w:id="0" w:name="政府信息公开工作年度报告格式模板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年度报告根据《中华人民共和国政府信息公开条例》（以下简称《条例》）和《国务院办公厅政府信息与政务公开办公室关于印发&lt;中华人民共和国政府信息公开工作年度报告格式＞的通知》（国办公开办函〔2021］30号）规定，结合我局2023年实际工作情况编制而成。全文包括总体情况，主动公开政府信息情况，收到和处理政府信息公开申请情况，政府信息公开工作申请行政复议。提起行政诉讼情况，政府信息公开工作存在的主要问题及改进情况，其他需要报告的事项等6部分内容。所列数据统计期限为 2023年1月1日起至2023年12月31日。本年度报告电子版可以从乌海市人民政府门户网站（http://www.wuhai.gov.cn）下载。如对本报告有疑问，请与市</w:t>
      </w:r>
      <w:r>
        <w:rPr>
          <w:rFonts w:hint="eastAsia" w:ascii="Times New Roman" w:hAnsi="Times New Roman"/>
          <w:sz w:val="32"/>
          <w:szCs w:val="32"/>
          <w:lang w:eastAsia="zh-CN"/>
        </w:rPr>
        <w:t>能源局</w:t>
      </w:r>
      <w:r>
        <w:rPr>
          <w:rFonts w:ascii="Times New Roman" w:hAnsi="Times New Roman" w:eastAsia="仿宋_GB2312"/>
          <w:sz w:val="32"/>
          <w:szCs w:val="32"/>
        </w:rPr>
        <w:t>办公室联系（联系电话：0473-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2090809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一、总体情况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楷体_GB2312" w:hAnsi="Times New Roman" w:eastAsia="楷体_GB2312"/>
          <w:b/>
          <w:sz w:val="32"/>
          <w:szCs w:val="32"/>
        </w:rPr>
        <w:t>（一）加强内容建设。</w:t>
      </w:r>
      <w:r>
        <w:rPr>
          <w:rFonts w:ascii="Times New Roman" w:hAnsi="Times New Roman" w:eastAsia="仿宋_GB2312"/>
          <w:sz w:val="32"/>
          <w:szCs w:val="32"/>
        </w:rPr>
        <w:t>按照政务公开要求，我局设置信息公开基本目录，及时做好网站信息更新发布工作，抓好</w:t>
      </w:r>
      <w:r>
        <w:rPr>
          <w:rFonts w:hint="eastAsia" w:ascii="Times New Roman" w:hAnsi="Times New Roman" w:eastAsia="仿宋_GB2312"/>
          <w:sz w:val="32"/>
          <w:szCs w:val="32"/>
        </w:rPr>
        <w:t>项目审批备案、</w:t>
      </w:r>
      <w:r>
        <w:rPr>
          <w:rFonts w:ascii="Times New Roman" w:hAnsi="Times New Roman" w:eastAsia="仿宋_GB2312"/>
          <w:sz w:val="32"/>
          <w:szCs w:val="32"/>
        </w:rPr>
        <w:t>安全生产、执法检查、能源数据统计情况等信息的主动公开，不断加强重点领域政府信息公开。202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年，局网站累计发布动态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558</w:t>
      </w:r>
      <w:r>
        <w:rPr>
          <w:rFonts w:ascii="Times New Roman" w:hAnsi="Times New Roman" w:eastAsia="仿宋_GB2312"/>
          <w:sz w:val="32"/>
          <w:szCs w:val="32"/>
        </w:rPr>
        <w:t>条，包括党建工作、安全生产、</w:t>
      </w:r>
      <w:r>
        <w:rPr>
          <w:rFonts w:hint="eastAsia" w:ascii="Times New Roman" w:hAnsi="Times New Roman" w:eastAsia="仿宋_GB2312"/>
          <w:sz w:val="32"/>
          <w:szCs w:val="32"/>
        </w:rPr>
        <w:t>工作动态</w:t>
      </w:r>
      <w:r>
        <w:rPr>
          <w:rFonts w:ascii="Times New Roman" w:hAnsi="Times New Roman" w:eastAsia="仿宋_GB2312"/>
          <w:sz w:val="32"/>
          <w:szCs w:val="32"/>
        </w:rPr>
        <w:t>、新闻发布、办事服务、通知公告、政策法规等栏目。同时充分发挥政务微博、微信的信息平台作用，运用图片、图表、视频等可视化方式，全领域、全媒介做好信息发布工作，202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年微信公众号累计发布动态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357</w:t>
      </w:r>
      <w:r>
        <w:rPr>
          <w:rFonts w:ascii="Times New Roman" w:hAnsi="Times New Roman" w:eastAsia="仿宋_GB2312"/>
          <w:sz w:val="32"/>
          <w:szCs w:val="32"/>
        </w:rPr>
        <w:t>条，微博累计发布动态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45</w:t>
      </w:r>
      <w:r>
        <w:rPr>
          <w:rFonts w:ascii="Times New Roman" w:hAnsi="Times New Roman" w:eastAsia="仿宋_GB2312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 xml:space="preserve">    </w:t>
      </w:r>
      <w:r>
        <w:rPr>
          <w:rFonts w:ascii="楷体_GB2312" w:hAnsi="Times New Roman" w:eastAsia="楷体_GB2312"/>
          <w:b/>
          <w:sz w:val="32"/>
          <w:szCs w:val="32"/>
        </w:rPr>
        <w:t>（二）强化监督管理。</w:t>
      </w:r>
      <w:r>
        <w:rPr>
          <w:rFonts w:ascii="Times New Roman" w:hAnsi="Times New Roman" w:eastAsia="仿宋_GB2312"/>
          <w:sz w:val="32"/>
          <w:szCs w:val="32"/>
        </w:rPr>
        <w:t>我局的政府信息公开工作妥善处理公开与保密的关系，合理界定信息公开范围，防止该公开的不公开，不该公开的乱公开，严格落实信息公开保密审查制度，确保无泄密事件发生。积极参加自治区、市政府组织开展的政务公开相关内容培训，着力理解掌握相关规定，切实增强公开意识和能力。加强网站专栏建设，优化栏目设置，加快数据更新。对与无关栏目及时予以归并屏蔽。杜绝网站及栏目不更新，站点无法访问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 xml:space="preserve">    </w:t>
      </w:r>
      <w:r>
        <w:rPr>
          <w:rFonts w:ascii="楷体_GB2312" w:hAnsi="Times New Roman" w:eastAsia="楷体_GB2312"/>
          <w:b/>
          <w:sz w:val="32"/>
          <w:szCs w:val="32"/>
        </w:rPr>
        <w:t>（三）做好解读回应。</w:t>
      </w:r>
      <w:r>
        <w:rPr>
          <w:rFonts w:ascii="Times New Roman" w:hAnsi="Times New Roman" w:eastAsia="仿宋_GB2312"/>
          <w:sz w:val="32"/>
          <w:szCs w:val="32"/>
        </w:rPr>
        <w:t>建立行政性规范文件与解读方案、材料同步组织、同步审查机制，围绕公众关心事项不断加强政策解读。发布政策文件并按要求同步做好政策解读，通过文字解读和图片解读的形式，增强解读的针对性、实用性。在局官网设立公众互动专栏，主动公开举报电话和举报投诉统一平台入口。</w:t>
      </w:r>
    </w:p>
    <w:p>
      <w:pPr>
        <w:pStyle w:val="2"/>
        <w:spacing w:before="180"/>
        <w:ind w:left="0" w:leftChars="0" w:firstLine="0" w:firstLineChars="0"/>
        <w:rPr>
          <w:rFonts w:hint="eastAsia" w:ascii="黑体" w:eastAsia="黑体"/>
        </w:rPr>
      </w:pPr>
      <w:r>
        <w:rPr>
          <w:rFonts w:hint="eastAsia" w:ascii="黑体" w:eastAsia="黑体"/>
          <w:w w:val="90"/>
        </w:rPr>
        <w:t>二、主动公开政府信息情况</w:t>
      </w:r>
    </w:p>
    <w:p>
      <w:pPr>
        <w:pStyle w:val="2"/>
        <w:spacing w:before="0"/>
        <w:ind w:left="0"/>
        <w:rPr>
          <w:rFonts w:ascii="黑体"/>
          <w:sz w:val="14"/>
        </w:rPr>
      </w:pPr>
    </w:p>
    <w:tbl>
      <w:tblPr>
        <w:tblStyle w:val="3"/>
        <w:tblW w:w="8426" w:type="dxa"/>
        <w:tblInd w:w="6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2749"/>
        <w:gridCol w:w="2749"/>
        <w:gridCol w:w="16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26" w:type="dxa"/>
            <w:gridSpan w:val="4"/>
            <w:shd w:val="clear" w:color="auto" w:fill="C5D9F0"/>
          </w:tcPr>
          <w:p>
            <w:pPr>
              <w:pStyle w:val="5"/>
              <w:spacing w:before="81"/>
              <w:ind w:left="3112" w:right="3099"/>
              <w:jc w:val="center"/>
              <w:rPr>
                <w:sz w:val="24"/>
              </w:rPr>
            </w:pPr>
            <w:r>
              <w:rPr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26" w:type="dxa"/>
          </w:tcPr>
          <w:p>
            <w:pPr>
              <w:pStyle w:val="5"/>
              <w:spacing w:before="89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信息内容</w:t>
            </w:r>
          </w:p>
        </w:tc>
        <w:tc>
          <w:tcPr>
            <w:tcW w:w="2749" w:type="dxa"/>
          </w:tcPr>
          <w:p>
            <w:pPr>
              <w:pStyle w:val="5"/>
              <w:spacing w:before="89"/>
              <w:ind w:left="654"/>
              <w:rPr>
                <w:sz w:val="24"/>
              </w:rPr>
            </w:pPr>
            <w:r>
              <w:rPr>
                <w:sz w:val="24"/>
              </w:rPr>
              <w:t>本年制发件数</w:t>
            </w:r>
          </w:p>
        </w:tc>
        <w:tc>
          <w:tcPr>
            <w:tcW w:w="2749" w:type="dxa"/>
          </w:tcPr>
          <w:p>
            <w:pPr>
              <w:pStyle w:val="5"/>
              <w:spacing w:before="89"/>
              <w:ind w:left="653"/>
              <w:rPr>
                <w:sz w:val="24"/>
              </w:rPr>
            </w:pPr>
            <w:r>
              <w:rPr>
                <w:sz w:val="24"/>
              </w:rPr>
              <w:t>本年废止件数</w:t>
            </w:r>
          </w:p>
        </w:tc>
        <w:tc>
          <w:tcPr>
            <w:tcW w:w="1602" w:type="dxa"/>
          </w:tcPr>
          <w:p>
            <w:pPr>
              <w:pStyle w:val="5"/>
              <w:spacing w:before="89"/>
              <w:ind w:left="80"/>
              <w:rPr>
                <w:sz w:val="24"/>
              </w:rPr>
            </w:pPr>
            <w:r>
              <w:rPr>
                <w:sz w:val="24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326" w:type="dxa"/>
          </w:tcPr>
          <w:p>
            <w:pPr>
              <w:pStyle w:val="5"/>
              <w:spacing w:before="16" w:line="360" w:lineRule="exact"/>
              <w:ind w:left="141" w:right="125"/>
              <w:rPr>
                <w:sz w:val="24"/>
              </w:rPr>
            </w:pPr>
            <w:r>
              <w:rPr>
                <w:spacing w:val="-1"/>
                <w:sz w:val="24"/>
              </w:rPr>
              <w:t>规章(</w:t>
            </w:r>
            <w:r>
              <w:rPr>
                <w:color w:val="333333"/>
                <w:sz w:val="24"/>
              </w:rPr>
              <w:t>地方</w:t>
            </w:r>
            <w:r>
              <w:rPr>
                <w:color w:val="333333"/>
                <w:spacing w:val="-1"/>
                <w:sz w:val="24"/>
              </w:rPr>
              <w:t>政府规章)</w:t>
            </w:r>
          </w:p>
        </w:tc>
        <w:tc>
          <w:tcPr>
            <w:tcW w:w="2749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  <w:tc>
          <w:tcPr>
            <w:tcW w:w="2749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  <w:tc>
          <w:tcPr>
            <w:tcW w:w="160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26" w:type="dxa"/>
          </w:tcPr>
          <w:p>
            <w:pPr>
              <w:pStyle w:val="5"/>
              <w:spacing w:before="19" w:line="360" w:lineRule="exact"/>
              <w:ind w:left="422" w:right="46" w:hanging="360"/>
              <w:rPr>
                <w:sz w:val="24"/>
              </w:rPr>
            </w:pPr>
            <w:r>
              <w:rPr>
                <w:spacing w:val="-1"/>
                <w:sz w:val="24"/>
              </w:rPr>
              <w:t>行政规范性</w:t>
            </w:r>
            <w:r>
              <w:rPr>
                <w:sz w:val="24"/>
              </w:rPr>
              <w:t>文件</w:t>
            </w:r>
          </w:p>
        </w:tc>
        <w:tc>
          <w:tcPr>
            <w:tcW w:w="2749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  <w:tc>
          <w:tcPr>
            <w:tcW w:w="2749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  <w:tc>
          <w:tcPr>
            <w:tcW w:w="160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426" w:type="dxa"/>
            <w:gridSpan w:val="4"/>
            <w:shd w:val="clear" w:color="auto" w:fill="C5D9F0"/>
          </w:tcPr>
          <w:p>
            <w:pPr>
              <w:pStyle w:val="5"/>
              <w:spacing w:before="89"/>
              <w:ind w:left="3112" w:right="3099"/>
              <w:jc w:val="center"/>
              <w:rPr>
                <w:sz w:val="24"/>
              </w:rPr>
            </w:pPr>
            <w:r>
              <w:rPr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326" w:type="dxa"/>
          </w:tcPr>
          <w:p>
            <w:pPr>
              <w:pStyle w:val="5"/>
              <w:spacing w:before="91" w:line="440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信息内容</w:t>
            </w:r>
          </w:p>
        </w:tc>
        <w:tc>
          <w:tcPr>
            <w:tcW w:w="7100" w:type="dxa"/>
            <w:gridSpan w:val="3"/>
          </w:tcPr>
          <w:p>
            <w:pPr>
              <w:pStyle w:val="5"/>
              <w:spacing w:before="91" w:line="440" w:lineRule="exact"/>
              <w:ind w:left="2568" w:right="2556"/>
              <w:jc w:val="center"/>
              <w:rPr>
                <w:sz w:val="24"/>
              </w:rPr>
            </w:pPr>
            <w:r>
              <w:rPr>
                <w:sz w:val="24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326" w:type="dxa"/>
          </w:tcPr>
          <w:p>
            <w:pPr>
              <w:pStyle w:val="5"/>
              <w:spacing w:before="91" w:line="441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行政许可</w:t>
            </w:r>
          </w:p>
        </w:tc>
        <w:tc>
          <w:tcPr>
            <w:tcW w:w="7100" w:type="dxa"/>
            <w:gridSpan w:val="3"/>
            <w:vAlign w:val="center"/>
          </w:tcPr>
          <w:p>
            <w:pPr>
              <w:pStyle w:val="5"/>
              <w:jc w:val="center"/>
              <w:rPr>
                <w:rFonts w:hint="default" w:ascii="Times New Roman" w:eastAsia="微软雅黑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426" w:type="dxa"/>
            <w:gridSpan w:val="4"/>
            <w:shd w:val="clear" w:color="auto" w:fill="C5D9F0"/>
          </w:tcPr>
          <w:p>
            <w:pPr>
              <w:pStyle w:val="5"/>
              <w:spacing w:before="90"/>
              <w:ind w:left="3112" w:right="3099"/>
              <w:jc w:val="center"/>
              <w:rPr>
                <w:sz w:val="24"/>
              </w:rPr>
            </w:pPr>
            <w:r>
              <w:rPr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326" w:type="dxa"/>
          </w:tcPr>
          <w:p>
            <w:pPr>
              <w:pStyle w:val="5"/>
              <w:spacing w:before="89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信息内容</w:t>
            </w:r>
          </w:p>
        </w:tc>
        <w:tc>
          <w:tcPr>
            <w:tcW w:w="7100" w:type="dxa"/>
            <w:gridSpan w:val="3"/>
          </w:tcPr>
          <w:p>
            <w:pPr>
              <w:pStyle w:val="5"/>
              <w:spacing w:before="89"/>
              <w:ind w:left="2568" w:right="2556"/>
              <w:jc w:val="center"/>
              <w:rPr>
                <w:sz w:val="24"/>
              </w:rPr>
            </w:pPr>
            <w:r>
              <w:rPr>
                <w:sz w:val="24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326" w:type="dxa"/>
          </w:tcPr>
          <w:p>
            <w:pPr>
              <w:pStyle w:val="5"/>
              <w:spacing w:before="91" w:line="440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行政处罚</w:t>
            </w:r>
          </w:p>
        </w:tc>
        <w:tc>
          <w:tcPr>
            <w:tcW w:w="7100" w:type="dxa"/>
            <w:gridSpan w:val="3"/>
            <w:vAlign w:val="center"/>
          </w:tcPr>
          <w:p>
            <w:pPr>
              <w:pStyle w:val="5"/>
              <w:jc w:val="center"/>
              <w:rPr>
                <w:rFonts w:hint="default" w:ascii="Times New Roman" w:eastAsia="微软雅黑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326" w:type="dxa"/>
          </w:tcPr>
          <w:p>
            <w:pPr>
              <w:pStyle w:val="5"/>
              <w:spacing w:before="91" w:line="441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行政强制</w:t>
            </w:r>
          </w:p>
        </w:tc>
        <w:tc>
          <w:tcPr>
            <w:tcW w:w="7100" w:type="dxa"/>
            <w:gridSpan w:val="3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426" w:type="dxa"/>
            <w:gridSpan w:val="4"/>
            <w:shd w:val="clear" w:color="auto" w:fill="C5D9F0"/>
            <w:vAlign w:val="center"/>
          </w:tcPr>
          <w:p>
            <w:pPr>
              <w:pStyle w:val="5"/>
              <w:spacing w:before="90"/>
              <w:ind w:left="3112" w:right="3099"/>
              <w:jc w:val="center"/>
              <w:rPr>
                <w:sz w:val="24"/>
              </w:rPr>
            </w:pPr>
            <w:r>
              <w:rPr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326" w:type="dxa"/>
          </w:tcPr>
          <w:p>
            <w:pPr>
              <w:pStyle w:val="5"/>
              <w:spacing w:before="89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信息内容</w:t>
            </w:r>
          </w:p>
        </w:tc>
        <w:tc>
          <w:tcPr>
            <w:tcW w:w="7100" w:type="dxa"/>
            <w:gridSpan w:val="3"/>
            <w:vAlign w:val="center"/>
          </w:tcPr>
          <w:p>
            <w:pPr>
              <w:pStyle w:val="5"/>
              <w:spacing w:before="89"/>
              <w:ind w:left="1988"/>
              <w:jc w:val="both"/>
              <w:rPr>
                <w:sz w:val="24"/>
              </w:rPr>
            </w:pPr>
            <w:r>
              <w:rPr>
                <w:sz w:val="24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326" w:type="dxa"/>
          </w:tcPr>
          <w:p>
            <w:pPr>
              <w:pStyle w:val="5"/>
              <w:spacing w:before="209" w:line="194" w:lineRule="auto"/>
              <w:ind w:left="422" w:right="46" w:hanging="360"/>
              <w:rPr>
                <w:sz w:val="24"/>
              </w:rPr>
            </w:pPr>
            <w:r>
              <w:rPr>
                <w:spacing w:val="-1"/>
                <w:sz w:val="24"/>
              </w:rPr>
              <w:t>行政事业性</w:t>
            </w:r>
            <w:r>
              <w:rPr>
                <w:sz w:val="24"/>
              </w:rPr>
              <w:t>收费</w:t>
            </w:r>
          </w:p>
        </w:tc>
        <w:tc>
          <w:tcPr>
            <w:tcW w:w="7100" w:type="dxa"/>
            <w:gridSpan w:val="3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</w:tbl>
    <w:p>
      <w:pPr>
        <w:pStyle w:val="2"/>
        <w:spacing w:before="108"/>
        <w:ind w:left="0" w:leftChars="0" w:firstLine="0" w:firstLineChars="0"/>
        <w:rPr>
          <w:rFonts w:hint="eastAsia" w:ascii="黑体" w:eastAsia="黑体"/>
        </w:rPr>
      </w:pPr>
      <w:r>
        <w:rPr>
          <w:rFonts w:hint="eastAsia" w:ascii="黑体" w:eastAsia="黑体"/>
          <w:color w:val="333333"/>
          <w:w w:val="95"/>
        </w:rPr>
        <w:t>三、收到和处理政府信息公开申请情况</w:t>
      </w:r>
    </w:p>
    <w:p>
      <w:pPr>
        <w:spacing w:after="0"/>
        <w:rPr>
          <w:rFonts w:hint="eastAsia" w:ascii="黑体" w:eastAsia="黑体"/>
        </w:rPr>
        <w:sectPr>
          <w:footerReference r:id="rId5" w:type="default"/>
          <w:footerReference r:id="rId6" w:type="even"/>
          <w:pgSz w:w="11910" w:h="16840"/>
          <w:pgMar w:top="1540" w:right="840" w:bottom="1160" w:left="1180" w:header="0" w:footer="978" w:gutter="0"/>
          <w:pgNumType w:start="1"/>
          <w:cols w:space="720" w:num="1"/>
        </w:sectPr>
      </w:pPr>
    </w:p>
    <w:tbl>
      <w:tblPr>
        <w:tblStyle w:val="3"/>
        <w:tblW w:w="8339" w:type="dxa"/>
        <w:tblInd w:w="6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637"/>
        <w:gridCol w:w="2865"/>
        <w:gridCol w:w="570"/>
        <w:gridCol w:w="525"/>
        <w:gridCol w:w="600"/>
        <w:gridCol w:w="645"/>
        <w:gridCol w:w="570"/>
        <w:gridCol w:w="630"/>
        <w:gridCol w:w="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4207" w:type="dxa"/>
            <w:gridSpan w:val="3"/>
            <w:vMerge w:val="restart"/>
          </w:tcPr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spacing w:before="2"/>
              <w:rPr>
                <w:rFonts w:ascii="黑体"/>
                <w:sz w:val="28"/>
              </w:rPr>
            </w:pPr>
          </w:p>
          <w:p>
            <w:pPr>
              <w:pStyle w:val="5"/>
              <w:spacing w:line="194" w:lineRule="auto"/>
              <w:ind w:left="62" w:right="52"/>
              <w:rPr>
                <w:sz w:val="24"/>
              </w:rPr>
            </w:pPr>
            <w:r>
              <w:rPr>
                <w:color w:val="272727"/>
                <w:spacing w:val="-1"/>
                <w:sz w:val="24"/>
              </w:rPr>
              <w:t>（本列数据的勾稽关系为：第一项加第二项之和，等于第三项加第四项之和</w:t>
            </w:r>
            <w:r>
              <w:rPr>
                <w:color w:val="272727"/>
                <w:sz w:val="24"/>
              </w:rPr>
              <w:t>）</w:t>
            </w:r>
          </w:p>
        </w:tc>
        <w:tc>
          <w:tcPr>
            <w:tcW w:w="4132" w:type="dxa"/>
            <w:gridSpan w:val="7"/>
          </w:tcPr>
          <w:p>
            <w:pPr>
              <w:pStyle w:val="5"/>
              <w:spacing w:before="106" w:line="431" w:lineRule="exact"/>
              <w:ind w:left="1436" w:right="1446"/>
              <w:jc w:val="center"/>
              <w:rPr>
                <w:sz w:val="24"/>
              </w:rPr>
            </w:pPr>
            <w:r>
              <w:rPr>
                <w:color w:val="272727"/>
                <w:sz w:val="24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20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spacing w:line="194" w:lineRule="auto"/>
              <w:ind w:left="163" w:right="154"/>
              <w:jc w:val="both"/>
              <w:rPr>
                <w:sz w:val="24"/>
              </w:rPr>
            </w:pPr>
            <w:r>
              <w:rPr>
                <w:color w:val="272727"/>
                <w:sz w:val="24"/>
              </w:rPr>
              <w:t>自然人</w:t>
            </w:r>
          </w:p>
        </w:tc>
        <w:tc>
          <w:tcPr>
            <w:tcW w:w="2970" w:type="dxa"/>
            <w:gridSpan w:val="5"/>
          </w:tcPr>
          <w:p>
            <w:pPr>
              <w:pStyle w:val="5"/>
              <w:spacing w:before="106" w:line="431" w:lineRule="exact"/>
              <w:ind w:left="644"/>
              <w:rPr>
                <w:sz w:val="24"/>
              </w:rPr>
            </w:pPr>
            <w:r>
              <w:rPr>
                <w:color w:val="272727"/>
                <w:sz w:val="24"/>
              </w:rPr>
              <w:t>法人或其他组织</w:t>
            </w:r>
          </w:p>
        </w:tc>
        <w:tc>
          <w:tcPr>
            <w:tcW w:w="592" w:type="dxa"/>
            <w:vMerge w:val="restart"/>
          </w:tcPr>
          <w:p>
            <w:pPr>
              <w:pStyle w:val="5"/>
              <w:spacing w:before="5"/>
              <w:rPr>
                <w:rFonts w:ascii="黑体"/>
                <w:sz w:val="47"/>
              </w:rPr>
            </w:pPr>
          </w:p>
          <w:p>
            <w:pPr>
              <w:pStyle w:val="5"/>
              <w:ind w:left="55"/>
              <w:rPr>
                <w:sz w:val="24"/>
              </w:rPr>
            </w:pPr>
            <w:r>
              <w:rPr>
                <w:color w:val="272727"/>
                <w:sz w:val="24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420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>
            <w:pPr>
              <w:pStyle w:val="5"/>
              <w:spacing w:before="274" w:line="163" w:lineRule="auto"/>
              <w:ind w:left="20" w:right="12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商业企业</w:t>
            </w:r>
          </w:p>
        </w:tc>
        <w:tc>
          <w:tcPr>
            <w:tcW w:w="600" w:type="dxa"/>
          </w:tcPr>
          <w:p>
            <w:pPr>
              <w:pStyle w:val="5"/>
              <w:spacing w:before="274" w:line="163" w:lineRule="auto"/>
              <w:ind w:left="59" w:right="48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科研机构</w:t>
            </w:r>
          </w:p>
        </w:tc>
        <w:tc>
          <w:tcPr>
            <w:tcW w:w="645" w:type="dxa"/>
          </w:tcPr>
          <w:p>
            <w:pPr>
              <w:pStyle w:val="5"/>
              <w:spacing w:before="125" w:line="163" w:lineRule="auto"/>
              <w:ind w:left="81" w:right="71"/>
              <w:jc w:val="both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社会公益组织</w:t>
            </w:r>
          </w:p>
        </w:tc>
        <w:tc>
          <w:tcPr>
            <w:tcW w:w="570" w:type="dxa"/>
          </w:tcPr>
          <w:p>
            <w:pPr>
              <w:pStyle w:val="5"/>
              <w:spacing w:before="125" w:line="163" w:lineRule="auto"/>
              <w:ind w:left="43" w:right="34"/>
              <w:jc w:val="both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法律服务机构</w:t>
            </w:r>
          </w:p>
        </w:tc>
        <w:tc>
          <w:tcPr>
            <w:tcW w:w="630" w:type="dxa"/>
          </w:tcPr>
          <w:p>
            <w:pPr>
              <w:pStyle w:val="5"/>
              <w:spacing w:before="3"/>
              <w:rPr>
                <w:rFonts w:ascii="黑体"/>
                <w:sz w:val="25"/>
              </w:rPr>
            </w:pPr>
          </w:p>
          <w:p>
            <w:pPr>
              <w:pStyle w:val="5"/>
              <w:ind w:left="73"/>
              <w:rPr>
                <w:sz w:val="24"/>
              </w:rPr>
            </w:pPr>
            <w:r>
              <w:rPr>
                <w:color w:val="272727"/>
                <w:sz w:val="24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207" w:type="dxa"/>
            <w:gridSpan w:val="3"/>
          </w:tcPr>
          <w:p>
            <w:pPr>
              <w:pStyle w:val="5"/>
              <w:spacing w:before="106"/>
              <w:ind w:left="182"/>
              <w:rPr>
                <w:sz w:val="24"/>
              </w:rPr>
            </w:pPr>
            <w:r>
              <w:rPr>
                <w:color w:val="272727"/>
                <w:sz w:val="24"/>
              </w:rPr>
              <w:t>一、本年新收政府信息公开申请数量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hint="eastAsia"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207" w:type="dxa"/>
            <w:gridSpan w:val="3"/>
          </w:tcPr>
          <w:p>
            <w:pPr>
              <w:pStyle w:val="5"/>
              <w:spacing w:before="107"/>
              <w:ind w:left="182"/>
              <w:rPr>
                <w:sz w:val="24"/>
              </w:rPr>
            </w:pPr>
            <w:r>
              <w:rPr>
                <w:color w:val="272727"/>
                <w:sz w:val="24"/>
              </w:rPr>
              <w:t>二、上年结转政府信息公开申请数量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  <w:p>
            <w:pPr>
              <w:pStyle w:val="5"/>
              <w:jc w:val="center"/>
              <w:rPr>
                <w:rFonts w:hint="eastAsia" w:ascii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05" w:type="dxa"/>
            <w:vMerge w:val="restart"/>
          </w:tcPr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rPr>
                <w:rFonts w:ascii="黑体"/>
                <w:sz w:val="35"/>
              </w:rPr>
            </w:pPr>
          </w:p>
          <w:p>
            <w:pPr>
              <w:pStyle w:val="5"/>
              <w:spacing w:line="194" w:lineRule="auto"/>
              <w:ind w:left="110" w:right="102"/>
              <w:jc w:val="both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三、本年度办理结</w:t>
            </w:r>
            <w:r>
              <w:rPr>
                <w:color w:val="272727"/>
                <w:sz w:val="24"/>
              </w:rPr>
              <w:t>果</w:t>
            </w:r>
          </w:p>
        </w:tc>
        <w:tc>
          <w:tcPr>
            <w:tcW w:w="3502" w:type="dxa"/>
            <w:gridSpan w:val="2"/>
          </w:tcPr>
          <w:p>
            <w:pPr>
              <w:pStyle w:val="5"/>
              <w:spacing w:before="106"/>
              <w:ind w:left="910"/>
              <w:rPr>
                <w:sz w:val="24"/>
              </w:rPr>
            </w:pPr>
            <w:r>
              <w:rPr>
                <w:color w:val="272727"/>
                <w:sz w:val="24"/>
              </w:rPr>
              <w:t>（一）予以公开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gridSpan w:val="2"/>
          </w:tcPr>
          <w:p>
            <w:pPr>
              <w:pStyle w:val="5"/>
              <w:spacing w:line="357" w:lineRule="exact"/>
              <w:ind w:left="70"/>
              <w:rPr>
                <w:sz w:val="24"/>
              </w:rPr>
            </w:pPr>
            <w:r>
              <w:rPr>
                <w:color w:val="272727"/>
                <w:sz w:val="24"/>
              </w:rPr>
              <w:t>（二）部分公开（区分处理的，</w:t>
            </w:r>
          </w:p>
          <w:p>
            <w:pPr>
              <w:pStyle w:val="5"/>
              <w:spacing w:line="318" w:lineRule="exact"/>
              <w:ind w:left="70"/>
              <w:rPr>
                <w:sz w:val="24"/>
              </w:rPr>
            </w:pPr>
            <w:r>
              <w:rPr>
                <w:color w:val="272727"/>
                <w:sz w:val="24"/>
              </w:rPr>
              <w:t>只计这一情形，不计其他情形）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restart"/>
          </w:tcPr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spacing w:before="5"/>
              <w:rPr>
                <w:rFonts w:ascii="黑体"/>
                <w:sz w:val="38"/>
              </w:rPr>
            </w:pPr>
          </w:p>
          <w:p>
            <w:pPr>
              <w:pStyle w:val="5"/>
              <w:spacing w:line="194" w:lineRule="auto"/>
              <w:ind w:left="77" w:right="-116" w:hanging="63"/>
              <w:rPr>
                <w:sz w:val="24"/>
              </w:rPr>
            </w:pPr>
            <w:r>
              <w:rPr>
                <w:color w:val="272727"/>
                <w:sz w:val="24"/>
              </w:rPr>
              <w:t>（三）</w:t>
            </w:r>
            <w:r>
              <w:rPr>
                <w:color w:val="272727"/>
                <w:spacing w:val="-69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不予公开</w:t>
            </w:r>
          </w:p>
        </w:tc>
        <w:tc>
          <w:tcPr>
            <w:tcW w:w="2865" w:type="dxa"/>
          </w:tcPr>
          <w:p>
            <w:pPr>
              <w:pStyle w:val="5"/>
              <w:spacing w:before="106"/>
              <w:ind w:left="14"/>
              <w:rPr>
                <w:sz w:val="24"/>
              </w:rPr>
            </w:pPr>
            <w:r>
              <w:rPr>
                <w:color w:val="272727"/>
                <w:sz w:val="24"/>
              </w:rPr>
              <w:t>1.属于国家秘密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>
            <w:pPr>
              <w:pStyle w:val="5"/>
              <w:spacing w:before="13" w:line="360" w:lineRule="exact"/>
              <w:ind w:left="14" w:right="239"/>
              <w:rPr>
                <w:sz w:val="24"/>
              </w:rPr>
            </w:pPr>
            <w:r>
              <w:rPr>
                <w:color w:val="272727"/>
                <w:spacing w:val="-1"/>
                <w:sz w:val="24"/>
              </w:rPr>
              <w:t>2.其他法律行政法规禁止</w:t>
            </w:r>
            <w:r>
              <w:rPr>
                <w:color w:val="272727"/>
                <w:sz w:val="24"/>
              </w:rPr>
              <w:t>公开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>
            <w:pPr>
              <w:pStyle w:val="5"/>
              <w:spacing w:before="105"/>
              <w:ind w:left="14"/>
              <w:rPr>
                <w:sz w:val="24"/>
              </w:rPr>
            </w:pPr>
            <w:r>
              <w:rPr>
                <w:color w:val="272727"/>
                <w:sz w:val="24"/>
              </w:rPr>
              <w:t>3.危及“三安全一稳定”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>
            <w:pPr>
              <w:pStyle w:val="5"/>
              <w:spacing w:before="106"/>
              <w:ind w:left="14"/>
              <w:rPr>
                <w:sz w:val="24"/>
              </w:rPr>
            </w:pPr>
            <w:r>
              <w:rPr>
                <w:color w:val="272727"/>
                <w:sz w:val="24"/>
              </w:rPr>
              <w:t>4.保护第三方合法权益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>
            <w:pPr>
              <w:pStyle w:val="5"/>
              <w:spacing w:before="105"/>
              <w:ind w:left="14"/>
              <w:rPr>
                <w:sz w:val="24"/>
              </w:rPr>
            </w:pPr>
            <w:r>
              <w:rPr>
                <w:color w:val="272727"/>
                <w:sz w:val="24"/>
              </w:rPr>
              <w:t>5.属于三类内部事务信息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>
            <w:pPr>
              <w:pStyle w:val="5"/>
              <w:spacing w:before="105"/>
              <w:ind w:left="14"/>
              <w:rPr>
                <w:sz w:val="24"/>
              </w:rPr>
            </w:pPr>
            <w:r>
              <w:rPr>
                <w:color w:val="272727"/>
                <w:sz w:val="24"/>
              </w:rPr>
              <w:t>6.属于四类过程性信息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>
            <w:pPr>
              <w:pStyle w:val="5"/>
              <w:spacing w:before="104"/>
              <w:ind w:left="14"/>
              <w:rPr>
                <w:sz w:val="24"/>
              </w:rPr>
            </w:pPr>
            <w:r>
              <w:rPr>
                <w:color w:val="272727"/>
                <w:sz w:val="24"/>
              </w:rPr>
              <w:t>7.属于行政执法案卷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>
            <w:pPr>
              <w:pStyle w:val="5"/>
              <w:spacing w:before="106"/>
              <w:ind w:left="14"/>
              <w:rPr>
                <w:sz w:val="24"/>
              </w:rPr>
            </w:pPr>
            <w:r>
              <w:rPr>
                <w:color w:val="272727"/>
                <w:sz w:val="24"/>
              </w:rPr>
              <w:t>8.属于行政查询事项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restart"/>
          </w:tcPr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spacing w:before="2"/>
              <w:rPr>
                <w:rFonts w:ascii="黑体"/>
                <w:sz w:val="30"/>
              </w:rPr>
            </w:pPr>
          </w:p>
          <w:p>
            <w:pPr>
              <w:pStyle w:val="5"/>
              <w:spacing w:line="194" w:lineRule="auto"/>
              <w:ind w:left="77" w:right="-116" w:hanging="63"/>
              <w:rPr>
                <w:sz w:val="24"/>
              </w:rPr>
            </w:pPr>
            <w:r>
              <w:rPr>
                <w:color w:val="272727"/>
                <w:sz w:val="24"/>
              </w:rPr>
              <w:t>（四）</w:t>
            </w:r>
            <w:r>
              <w:rPr>
                <w:color w:val="272727"/>
                <w:spacing w:val="-69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无法提供</w:t>
            </w:r>
          </w:p>
        </w:tc>
        <w:tc>
          <w:tcPr>
            <w:tcW w:w="2865" w:type="dxa"/>
          </w:tcPr>
          <w:p>
            <w:pPr>
              <w:pStyle w:val="5"/>
              <w:spacing w:before="131" w:line="360" w:lineRule="exact"/>
              <w:ind w:left="14" w:right="239"/>
              <w:rPr>
                <w:sz w:val="24"/>
              </w:rPr>
            </w:pPr>
            <w:r>
              <w:rPr>
                <w:color w:val="272727"/>
                <w:spacing w:val="-1"/>
                <w:sz w:val="24"/>
              </w:rPr>
              <w:t>1.本机关不掌握相关政府</w:t>
            </w:r>
            <w:r>
              <w:rPr>
                <w:color w:val="272727"/>
                <w:sz w:val="24"/>
              </w:rPr>
              <w:t>信息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>
            <w:pPr>
              <w:pStyle w:val="5"/>
              <w:spacing w:before="241" w:line="194" w:lineRule="auto"/>
              <w:ind w:left="14" w:right="239"/>
              <w:rPr>
                <w:sz w:val="24"/>
              </w:rPr>
            </w:pPr>
            <w:r>
              <w:rPr>
                <w:color w:val="272727"/>
                <w:spacing w:val="-1"/>
                <w:sz w:val="24"/>
              </w:rPr>
              <w:t>2.没有现成信息需要另行</w:t>
            </w:r>
            <w:r>
              <w:rPr>
                <w:color w:val="272727"/>
                <w:sz w:val="24"/>
              </w:rPr>
              <w:t>制作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>
            <w:pPr>
              <w:pStyle w:val="5"/>
              <w:spacing w:before="163"/>
              <w:ind w:left="14"/>
              <w:rPr>
                <w:sz w:val="24"/>
              </w:rPr>
            </w:pPr>
            <w:r>
              <w:rPr>
                <w:color w:val="272727"/>
                <w:spacing w:val="-7"/>
                <w:sz w:val="24"/>
              </w:rPr>
              <w:t>3.补正后申请内容仍不明确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865" w:type="dxa"/>
          </w:tcPr>
          <w:p>
            <w:pPr>
              <w:pStyle w:val="5"/>
              <w:spacing w:before="106"/>
              <w:ind w:left="14"/>
              <w:rPr>
                <w:sz w:val="24"/>
              </w:rPr>
            </w:pPr>
            <w:r>
              <w:rPr>
                <w:color w:val="272727"/>
                <w:sz w:val="24"/>
              </w:rPr>
              <w:t>1.信访举报投诉类申请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before="0"/>
        <w:ind w:left="0"/>
        <w:rPr>
          <w:rFonts w:ascii="黑体"/>
          <w:sz w:val="20"/>
        </w:rPr>
      </w:pPr>
    </w:p>
    <w:p>
      <w:pPr>
        <w:pStyle w:val="2"/>
        <w:spacing w:before="1"/>
        <w:ind w:left="0"/>
        <w:rPr>
          <w:rFonts w:ascii="黑体"/>
          <w:sz w:val="24"/>
        </w:rPr>
      </w:pPr>
    </w:p>
    <w:p>
      <w:pPr>
        <w:spacing w:before="61"/>
        <w:ind w:left="0" w:right="963" w:firstLine="0"/>
        <w:jc w:val="right"/>
        <w:rPr>
          <w:rFonts w:ascii="宋体"/>
          <w:sz w:val="28"/>
        </w:rPr>
      </w:pPr>
      <w:r>
        <w:rPr>
          <w:rFonts w:ascii="宋体"/>
          <w:sz w:val="28"/>
        </w:rPr>
        <w:t>- 7</w:t>
      </w:r>
      <w:r>
        <w:rPr>
          <w:rFonts w:ascii="宋体"/>
          <w:spacing w:val="-3"/>
          <w:sz w:val="28"/>
        </w:rPr>
        <w:t xml:space="preserve"> </w:t>
      </w:r>
      <w:r>
        <w:rPr>
          <w:rFonts w:ascii="宋体"/>
          <w:sz w:val="28"/>
        </w:rPr>
        <w:t>-</w:t>
      </w:r>
    </w:p>
    <w:p>
      <w:pPr>
        <w:spacing w:after="0"/>
        <w:jc w:val="right"/>
        <w:rPr>
          <w:rFonts w:ascii="宋体"/>
          <w:sz w:val="28"/>
        </w:rPr>
        <w:sectPr>
          <w:footerReference r:id="rId7" w:type="default"/>
          <w:pgSz w:w="11910" w:h="16840"/>
          <w:pgMar w:top="1420" w:right="840" w:bottom="280" w:left="1180" w:header="0" w:footer="0" w:gutter="0"/>
          <w:cols w:space="720" w:num="1"/>
        </w:sectPr>
      </w:pPr>
    </w:p>
    <w:tbl>
      <w:tblPr>
        <w:tblStyle w:val="3"/>
        <w:tblW w:w="8339" w:type="dxa"/>
        <w:tblInd w:w="6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637"/>
        <w:gridCol w:w="2865"/>
        <w:gridCol w:w="570"/>
        <w:gridCol w:w="525"/>
        <w:gridCol w:w="600"/>
        <w:gridCol w:w="645"/>
        <w:gridCol w:w="570"/>
        <w:gridCol w:w="630"/>
        <w:gridCol w:w="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05" w:type="dxa"/>
            <w:vMerge w:val="restart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637" w:type="dxa"/>
            <w:vMerge w:val="restart"/>
          </w:tcPr>
          <w:p>
            <w:pPr>
              <w:pStyle w:val="5"/>
              <w:spacing w:before="34" w:line="194" w:lineRule="auto"/>
              <w:ind w:left="77" w:right="-29" w:hanging="63"/>
              <w:jc w:val="both"/>
              <w:rPr>
                <w:sz w:val="24"/>
              </w:rPr>
            </w:pPr>
            <w:r>
              <w:rPr>
                <w:color w:val="272727"/>
                <w:sz w:val="24"/>
              </w:rPr>
              <w:t>（五</w:t>
            </w:r>
            <w:r>
              <w:rPr>
                <w:color w:val="272727"/>
                <w:spacing w:val="-98"/>
                <w:sz w:val="24"/>
              </w:rPr>
              <w:t>）</w:t>
            </w:r>
            <w:r>
              <w:rPr>
                <w:color w:val="272727"/>
                <w:spacing w:val="-69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不予处理</w:t>
            </w:r>
          </w:p>
        </w:tc>
        <w:tc>
          <w:tcPr>
            <w:tcW w:w="2865" w:type="dxa"/>
          </w:tcPr>
          <w:p>
            <w:pPr>
              <w:pStyle w:val="5"/>
              <w:spacing w:before="106"/>
              <w:ind w:left="14"/>
              <w:rPr>
                <w:sz w:val="24"/>
              </w:rPr>
            </w:pPr>
            <w:r>
              <w:rPr>
                <w:color w:val="272727"/>
                <w:sz w:val="24"/>
              </w:rPr>
              <w:t>2.重复申请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>
            <w:pPr>
              <w:pStyle w:val="5"/>
              <w:spacing w:before="105"/>
              <w:ind w:left="14"/>
              <w:rPr>
                <w:sz w:val="24"/>
              </w:rPr>
            </w:pPr>
            <w:r>
              <w:rPr>
                <w:color w:val="272727"/>
                <w:sz w:val="24"/>
              </w:rPr>
              <w:t>3.要求提供公开出版物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>
            <w:pPr>
              <w:pStyle w:val="5"/>
              <w:spacing w:before="25"/>
              <w:ind w:left="14"/>
              <w:rPr>
                <w:sz w:val="24"/>
              </w:rPr>
            </w:pPr>
            <w:r>
              <w:rPr>
                <w:color w:val="272727"/>
                <w:spacing w:val="-7"/>
                <w:sz w:val="24"/>
              </w:rPr>
              <w:t>4.无正当理由大量反复申请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>
            <w:pPr>
              <w:pStyle w:val="5"/>
              <w:spacing w:line="360" w:lineRule="exact"/>
              <w:ind w:left="14" w:right="239"/>
              <w:rPr>
                <w:sz w:val="24"/>
              </w:rPr>
            </w:pPr>
            <w:r>
              <w:rPr>
                <w:color w:val="272727"/>
                <w:spacing w:val="-1"/>
                <w:sz w:val="24"/>
              </w:rPr>
              <w:t>5.要求行政机关确认或重</w:t>
            </w:r>
            <w:r>
              <w:rPr>
                <w:color w:val="272727"/>
                <w:sz w:val="24"/>
              </w:rPr>
              <w:t>新出具已获取信息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restart"/>
          </w:tcPr>
          <w:p>
            <w:pPr>
              <w:pStyle w:val="5"/>
              <w:rPr>
                <w:rFonts w:ascii="宋体"/>
                <w:sz w:val="32"/>
              </w:rPr>
            </w:pPr>
          </w:p>
          <w:p>
            <w:pPr>
              <w:pStyle w:val="5"/>
              <w:rPr>
                <w:rFonts w:ascii="宋体"/>
                <w:sz w:val="32"/>
              </w:rPr>
            </w:pPr>
          </w:p>
          <w:p>
            <w:pPr>
              <w:pStyle w:val="5"/>
              <w:spacing w:before="10"/>
              <w:rPr>
                <w:rFonts w:ascii="宋体"/>
                <w:sz w:val="26"/>
              </w:rPr>
            </w:pPr>
          </w:p>
          <w:p>
            <w:pPr>
              <w:pStyle w:val="5"/>
              <w:spacing w:line="194" w:lineRule="auto"/>
              <w:ind w:left="77" w:right="-29" w:hanging="63"/>
              <w:jc w:val="both"/>
              <w:rPr>
                <w:sz w:val="24"/>
              </w:rPr>
            </w:pPr>
            <w:r>
              <w:rPr>
                <w:color w:val="272727"/>
                <w:sz w:val="24"/>
              </w:rPr>
              <w:t>（六</w:t>
            </w:r>
            <w:r>
              <w:rPr>
                <w:color w:val="272727"/>
                <w:spacing w:val="-98"/>
                <w:sz w:val="24"/>
              </w:rPr>
              <w:t>）</w:t>
            </w:r>
            <w:r>
              <w:rPr>
                <w:color w:val="272727"/>
                <w:spacing w:val="-69"/>
                <w:sz w:val="24"/>
              </w:rPr>
              <w:t xml:space="preserve"> </w:t>
            </w:r>
            <w:r>
              <w:rPr>
                <w:color w:val="272727"/>
                <w:sz w:val="24"/>
              </w:rPr>
              <w:t>其他处理</w:t>
            </w:r>
          </w:p>
        </w:tc>
        <w:tc>
          <w:tcPr>
            <w:tcW w:w="2865" w:type="dxa"/>
          </w:tcPr>
          <w:p>
            <w:pPr>
              <w:pStyle w:val="5"/>
              <w:spacing w:before="90" w:line="194" w:lineRule="auto"/>
              <w:ind w:left="14" w:right="4"/>
              <w:rPr>
                <w:sz w:val="24"/>
              </w:rPr>
            </w:pPr>
            <w:r>
              <w:rPr>
                <w:color w:val="272727"/>
                <w:sz w:val="24"/>
              </w:rPr>
              <w:t>1.申请人无正当理由逾期</w:t>
            </w:r>
            <w:r>
              <w:rPr>
                <w:color w:val="272727"/>
                <w:spacing w:val="1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不补正、行政机关不再处理</w:t>
            </w:r>
            <w:r>
              <w:rPr>
                <w:color w:val="272727"/>
                <w:sz w:val="24"/>
              </w:rPr>
              <w:t>其政府信息公开申请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>
            <w:pPr>
              <w:pStyle w:val="5"/>
              <w:spacing w:before="17" w:line="360" w:lineRule="exact"/>
              <w:ind w:left="14" w:right="4"/>
              <w:rPr>
                <w:sz w:val="24"/>
              </w:rPr>
            </w:pPr>
            <w:r>
              <w:rPr>
                <w:color w:val="272727"/>
                <w:sz w:val="24"/>
              </w:rPr>
              <w:t>2.申请人逾期未按收费通</w:t>
            </w:r>
            <w:r>
              <w:rPr>
                <w:color w:val="272727"/>
                <w:spacing w:val="1"/>
                <w:sz w:val="24"/>
              </w:rPr>
              <w:t xml:space="preserve"> </w:t>
            </w:r>
            <w:r>
              <w:rPr>
                <w:color w:val="272727"/>
                <w:spacing w:val="-5"/>
                <w:sz w:val="24"/>
              </w:rPr>
              <w:t>知要求缴纳费用、行政机关</w:t>
            </w:r>
            <w:r>
              <w:rPr>
                <w:color w:val="272727"/>
                <w:sz w:val="24"/>
              </w:rPr>
              <w:t>不再处理其政府信息公开申请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>
            <w:pPr>
              <w:pStyle w:val="5"/>
              <w:spacing w:before="105"/>
              <w:ind w:left="14"/>
              <w:rPr>
                <w:sz w:val="24"/>
              </w:rPr>
            </w:pPr>
            <w:r>
              <w:rPr>
                <w:color w:val="272727"/>
                <w:sz w:val="24"/>
              </w:rPr>
              <w:t>3.其他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gridSpan w:val="2"/>
          </w:tcPr>
          <w:p>
            <w:pPr>
              <w:pStyle w:val="5"/>
              <w:spacing w:before="107"/>
              <w:ind w:left="15"/>
              <w:rPr>
                <w:sz w:val="24"/>
              </w:rPr>
            </w:pPr>
            <w:r>
              <w:rPr>
                <w:color w:val="272727"/>
                <w:sz w:val="24"/>
              </w:rPr>
              <w:t>（七）总计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207" w:type="dxa"/>
            <w:gridSpan w:val="3"/>
          </w:tcPr>
          <w:p>
            <w:pPr>
              <w:pStyle w:val="5"/>
              <w:spacing w:before="106"/>
              <w:ind w:left="782"/>
              <w:rPr>
                <w:sz w:val="24"/>
              </w:rPr>
            </w:pPr>
            <w:r>
              <w:rPr>
                <w:color w:val="272727"/>
                <w:sz w:val="24"/>
              </w:rPr>
              <w:t>四、结转下年度继续办理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before="109"/>
        <w:ind w:left="0" w:leftChars="0" w:firstLine="0" w:firstLineChars="0"/>
        <w:rPr>
          <w:rFonts w:hint="eastAsia" w:ascii="黑体" w:eastAsia="黑体"/>
        </w:rPr>
      </w:pPr>
      <w:r>
        <w:rPr>
          <w:rFonts w:hint="eastAsia" w:ascii="黑体" w:eastAsia="黑体"/>
          <w:color w:val="333333"/>
        </w:rPr>
        <w:t>四、政府信息公开行政复议、行政诉讼情况</w:t>
      </w:r>
    </w:p>
    <w:p>
      <w:pPr>
        <w:pStyle w:val="2"/>
        <w:spacing w:before="12"/>
        <w:ind w:left="0"/>
        <w:rPr>
          <w:rFonts w:ascii="黑体"/>
          <w:sz w:val="9"/>
        </w:rPr>
      </w:pPr>
    </w:p>
    <w:tbl>
      <w:tblPr>
        <w:tblStyle w:val="3"/>
        <w:tblW w:w="9645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585"/>
        <w:gridCol w:w="630"/>
        <w:gridCol w:w="675"/>
        <w:gridCol w:w="660"/>
        <w:gridCol w:w="600"/>
        <w:gridCol w:w="660"/>
        <w:gridCol w:w="705"/>
        <w:gridCol w:w="675"/>
        <w:gridCol w:w="675"/>
        <w:gridCol w:w="645"/>
        <w:gridCol w:w="630"/>
        <w:gridCol w:w="645"/>
        <w:gridCol w:w="675"/>
        <w:gridCol w:w="6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120" w:type="dxa"/>
            <w:gridSpan w:val="5"/>
          </w:tcPr>
          <w:p>
            <w:pPr>
              <w:pStyle w:val="5"/>
              <w:spacing w:before="106"/>
              <w:ind w:left="1059" w:right="1051"/>
              <w:jc w:val="center"/>
              <w:rPr>
                <w:sz w:val="24"/>
              </w:rPr>
            </w:pPr>
            <w:r>
              <w:rPr>
                <w:color w:val="272727"/>
                <w:sz w:val="24"/>
              </w:rPr>
              <w:t>行政复议</w:t>
            </w:r>
          </w:p>
        </w:tc>
        <w:tc>
          <w:tcPr>
            <w:tcW w:w="6525" w:type="dxa"/>
            <w:gridSpan w:val="10"/>
          </w:tcPr>
          <w:p>
            <w:pPr>
              <w:pStyle w:val="5"/>
              <w:spacing w:before="106"/>
              <w:ind w:left="2760" w:right="2754"/>
              <w:jc w:val="center"/>
              <w:rPr>
                <w:sz w:val="24"/>
              </w:rPr>
            </w:pPr>
            <w:r>
              <w:rPr>
                <w:color w:val="272727"/>
                <w:sz w:val="24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70" w:type="dxa"/>
            <w:vMerge w:val="restart"/>
          </w:tcPr>
          <w:p>
            <w:pPr>
              <w:pStyle w:val="5"/>
              <w:spacing w:before="8"/>
              <w:rPr>
                <w:rFonts w:ascii="黑体"/>
                <w:sz w:val="28"/>
              </w:rPr>
            </w:pPr>
          </w:p>
          <w:p>
            <w:pPr>
              <w:pStyle w:val="5"/>
              <w:spacing w:line="194" w:lineRule="auto"/>
              <w:ind w:left="44" w:right="33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结果维持</w:t>
            </w:r>
          </w:p>
        </w:tc>
        <w:tc>
          <w:tcPr>
            <w:tcW w:w="585" w:type="dxa"/>
            <w:vMerge w:val="restart"/>
          </w:tcPr>
          <w:p>
            <w:pPr>
              <w:pStyle w:val="5"/>
              <w:spacing w:before="8"/>
              <w:rPr>
                <w:rFonts w:ascii="黑体"/>
                <w:sz w:val="28"/>
              </w:rPr>
            </w:pPr>
          </w:p>
          <w:p>
            <w:pPr>
              <w:pStyle w:val="5"/>
              <w:spacing w:line="194" w:lineRule="auto"/>
              <w:ind w:left="50" w:right="42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结果纠正</w:t>
            </w:r>
          </w:p>
        </w:tc>
        <w:tc>
          <w:tcPr>
            <w:tcW w:w="630" w:type="dxa"/>
            <w:vMerge w:val="restart"/>
          </w:tcPr>
          <w:p>
            <w:pPr>
              <w:pStyle w:val="5"/>
              <w:spacing w:before="8"/>
              <w:rPr>
                <w:rFonts w:ascii="黑体"/>
                <w:sz w:val="28"/>
              </w:rPr>
            </w:pPr>
          </w:p>
          <w:p>
            <w:pPr>
              <w:pStyle w:val="5"/>
              <w:spacing w:line="194" w:lineRule="auto"/>
              <w:ind w:left="75" w:right="62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其他结果</w:t>
            </w:r>
          </w:p>
        </w:tc>
        <w:tc>
          <w:tcPr>
            <w:tcW w:w="675" w:type="dxa"/>
            <w:vMerge w:val="restart"/>
          </w:tcPr>
          <w:p>
            <w:pPr>
              <w:pStyle w:val="5"/>
              <w:spacing w:before="8"/>
              <w:rPr>
                <w:rFonts w:ascii="黑体"/>
                <w:sz w:val="28"/>
              </w:rPr>
            </w:pPr>
          </w:p>
          <w:p>
            <w:pPr>
              <w:pStyle w:val="5"/>
              <w:spacing w:line="194" w:lineRule="auto"/>
              <w:ind w:left="95" w:right="87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尚未审结</w:t>
            </w:r>
          </w:p>
        </w:tc>
        <w:tc>
          <w:tcPr>
            <w:tcW w:w="660" w:type="dxa"/>
            <w:vMerge w:val="restart"/>
          </w:tcPr>
          <w:p>
            <w:pPr>
              <w:pStyle w:val="5"/>
              <w:rPr>
                <w:rFonts w:ascii="黑体"/>
                <w:sz w:val="38"/>
              </w:rPr>
            </w:pPr>
          </w:p>
          <w:p>
            <w:pPr>
              <w:pStyle w:val="5"/>
              <w:ind w:left="90"/>
              <w:rPr>
                <w:sz w:val="24"/>
              </w:rPr>
            </w:pPr>
            <w:r>
              <w:rPr>
                <w:color w:val="272727"/>
                <w:sz w:val="24"/>
              </w:rPr>
              <w:t>总计</w:t>
            </w:r>
          </w:p>
        </w:tc>
        <w:tc>
          <w:tcPr>
            <w:tcW w:w="3315" w:type="dxa"/>
            <w:gridSpan w:val="5"/>
          </w:tcPr>
          <w:p>
            <w:pPr>
              <w:pStyle w:val="5"/>
              <w:spacing w:before="105"/>
              <w:ind w:left="697"/>
              <w:rPr>
                <w:sz w:val="24"/>
              </w:rPr>
            </w:pPr>
            <w:r>
              <w:rPr>
                <w:color w:val="272727"/>
                <w:sz w:val="24"/>
              </w:rPr>
              <w:t>未经复议直接起诉</w:t>
            </w:r>
          </w:p>
        </w:tc>
        <w:tc>
          <w:tcPr>
            <w:tcW w:w="3210" w:type="dxa"/>
            <w:gridSpan w:val="5"/>
          </w:tcPr>
          <w:p>
            <w:pPr>
              <w:pStyle w:val="5"/>
              <w:spacing w:before="105"/>
              <w:ind w:left="1004"/>
              <w:rPr>
                <w:sz w:val="24"/>
              </w:rPr>
            </w:pPr>
            <w:r>
              <w:rPr>
                <w:color w:val="272727"/>
                <w:sz w:val="24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7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5"/>
              <w:spacing w:before="10" w:line="360" w:lineRule="exact"/>
              <w:ind w:left="59" w:right="48"/>
              <w:jc w:val="center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结果维持</w:t>
            </w:r>
          </w:p>
        </w:tc>
        <w:tc>
          <w:tcPr>
            <w:tcW w:w="660" w:type="dxa"/>
            <w:vAlign w:val="center"/>
          </w:tcPr>
          <w:p>
            <w:pPr>
              <w:pStyle w:val="5"/>
              <w:spacing w:before="10" w:line="360" w:lineRule="exact"/>
              <w:ind w:left="90" w:right="77"/>
              <w:jc w:val="center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结果纠正</w:t>
            </w:r>
          </w:p>
        </w:tc>
        <w:tc>
          <w:tcPr>
            <w:tcW w:w="705" w:type="dxa"/>
            <w:vAlign w:val="center"/>
          </w:tcPr>
          <w:p>
            <w:pPr>
              <w:pStyle w:val="5"/>
              <w:spacing w:before="10" w:line="360" w:lineRule="exact"/>
              <w:ind w:left="112" w:right="100"/>
              <w:jc w:val="center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其他结果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spacing w:before="10" w:line="360" w:lineRule="exact"/>
              <w:ind w:left="95" w:right="87"/>
              <w:jc w:val="center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尚未审结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spacing w:before="162"/>
              <w:ind w:left="97"/>
              <w:jc w:val="center"/>
              <w:rPr>
                <w:sz w:val="24"/>
              </w:rPr>
            </w:pPr>
            <w:r>
              <w:rPr>
                <w:color w:val="272727"/>
                <w:sz w:val="24"/>
              </w:rPr>
              <w:t>总计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spacing w:before="10" w:line="360" w:lineRule="exact"/>
              <w:ind w:left="82" w:right="70"/>
              <w:jc w:val="center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结果维持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spacing w:before="10" w:line="360" w:lineRule="exact"/>
              <w:ind w:left="73" w:right="64"/>
              <w:jc w:val="center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结果纠正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spacing w:before="10" w:line="360" w:lineRule="exact"/>
              <w:ind w:left="82" w:right="70"/>
              <w:jc w:val="center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其他结果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spacing w:before="10" w:line="360" w:lineRule="exact"/>
              <w:ind w:left="97" w:right="85"/>
              <w:jc w:val="center"/>
              <w:rPr>
                <w:sz w:val="24"/>
              </w:rPr>
            </w:pPr>
            <w:r>
              <w:rPr>
                <w:color w:val="272727"/>
                <w:spacing w:val="-2"/>
                <w:sz w:val="24"/>
              </w:rPr>
              <w:t>尚未审结</w:t>
            </w:r>
          </w:p>
        </w:tc>
        <w:tc>
          <w:tcPr>
            <w:tcW w:w="615" w:type="dxa"/>
            <w:vAlign w:val="center"/>
          </w:tcPr>
          <w:p>
            <w:pPr>
              <w:pStyle w:val="5"/>
              <w:spacing w:before="162"/>
              <w:ind w:left="67"/>
              <w:jc w:val="center"/>
              <w:rPr>
                <w:sz w:val="24"/>
              </w:rPr>
            </w:pPr>
            <w:r>
              <w:rPr>
                <w:color w:val="272727"/>
                <w:sz w:val="24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70" w:type="dxa"/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spacing w:line="58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五、存在的主要问题及改进措施</w:t>
      </w:r>
    </w:p>
    <w:p>
      <w:p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spacing w:line="580" w:lineRule="exact"/>
        <w:ind w:firstLine="643" w:firstLineChars="200"/>
        <w:rPr>
          <w:rFonts w:ascii="楷体_GB2312" w:hAnsi="Times New Roman" w:eastAsia="楷体_GB2312"/>
          <w:b/>
          <w:kern w:val="0"/>
          <w:sz w:val="32"/>
          <w:szCs w:val="32"/>
        </w:rPr>
      </w:pPr>
      <w:r>
        <w:rPr>
          <w:rFonts w:hint="eastAsia" w:ascii="楷体_GB2312" w:hAnsi="Times New Roman" w:eastAsia="楷体_GB2312"/>
          <w:b/>
          <w:kern w:val="0"/>
          <w:sz w:val="32"/>
          <w:szCs w:val="32"/>
        </w:rPr>
        <w:t>（一）主要问题和困难</w:t>
      </w:r>
    </w:p>
    <w:p>
      <w:p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一年来我局政府信息公开工作，尽管取得了一定成效，但与全市的要求和公众的需求相比，还存在一定差距，主要表现为工作动态更新不够及时，政策解读内容较少。</w:t>
      </w:r>
    </w:p>
    <w:p>
      <w:p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spacing w:line="580" w:lineRule="exact"/>
        <w:ind w:firstLine="643" w:firstLineChars="200"/>
        <w:rPr>
          <w:rFonts w:ascii="楷体_GB2312" w:hAnsi="Times New Roman" w:eastAsia="楷体_GB2312"/>
          <w:b/>
          <w:kern w:val="0"/>
          <w:sz w:val="32"/>
          <w:szCs w:val="32"/>
        </w:rPr>
      </w:pPr>
      <w:r>
        <w:rPr>
          <w:rFonts w:hint="eastAsia" w:ascii="楷体_GB2312" w:hAnsi="Times New Roman" w:eastAsia="楷体_GB2312"/>
          <w:b/>
          <w:kern w:val="0"/>
          <w:sz w:val="32"/>
          <w:szCs w:val="32"/>
        </w:rPr>
        <w:t>（二）下一步改进措施</w:t>
      </w:r>
    </w:p>
    <w:p>
      <w:p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spacing w:line="580" w:lineRule="exact"/>
        <w:ind w:firstLine="643" w:firstLineChars="200"/>
        <w:rPr>
          <w:rFonts w:ascii="仿宋_GB2312" w:hAnsi="宋体" w:eastAsia="仿宋_GB2312" w:cs="Calibri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1.</w:t>
      </w:r>
      <w:r>
        <w:rPr>
          <w:rFonts w:hint="eastAsia" w:ascii="仿宋_GB2312" w:hAnsi="宋体" w:eastAsia="仿宋_GB2312" w:cs="Calibri"/>
          <w:kern w:val="0"/>
          <w:sz w:val="32"/>
          <w:szCs w:val="32"/>
          <w:shd w:val="clear" w:color="auto" w:fill="FFFFFF"/>
        </w:rPr>
        <w:t>进一步提高思想认识，加强对《政府信息公开条例》的学习宣传，将政务公开作为本局的工作重要内容，认真抓好抓落实，提高信息公开工作水平。</w:t>
      </w:r>
    </w:p>
    <w:p>
      <w:p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spacing w:line="580" w:lineRule="exact"/>
        <w:ind w:firstLine="643" w:firstLineChars="200"/>
        <w:rPr>
          <w:rFonts w:ascii="仿宋_GB2312" w:hAnsi="宋体" w:eastAsia="仿宋_GB2312" w:cs="Calibri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Calibri"/>
          <w:b/>
          <w:kern w:val="0"/>
          <w:sz w:val="32"/>
          <w:szCs w:val="32"/>
          <w:shd w:val="clear" w:color="auto" w:fill="FFFFFF"/>
        </w:rPr>
        <w:t>2.</w:t>
      </w:r>
      <w:r>
        <w:rPr>
          <w:rFonts w:hint="eastAsia" w:ascii="仿宋_GB2312" w:hAnsi="宋体" w:eastAsia="仿宋_GB2312" w:cs="Calibri"/>
          <w:kern w:val="0"/>
          <w:sz w:val="32"/>
          <w:szCs w:val="32"/>
          <w:shd w:val="clear" w:color="auto" w:fill="FFFFFF"/>
        </w:rPr>
        <w:t>充实公开内容。坚持“公开是原则，不公开是例外”原则，围绕社会广泛关注、事关群众切身利益的重大事项，不断丰富信息公开的内容，继续强化信息内容更新。</w:t>
      </w:r>
    </w:p>
    <w:p>
      <w:p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spacing w:line="580" w:lineRule="exact"/>
        <w:ind w:firstLine="643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Calibri"/>
          <w:b/>
          <w:kern w:val="0"/>
          <w:sz w:val="32"/>
          <w:szCs w:val="32"/>
          <w:shd w:val="clear" w:color="auto" w:fill="FFFFFF"/>
        </w:rPr>
        <w:t>3.</w:t>
      </w:r>
      <w:r>
        <w:rPr>
          <w:rFonts w:hint="eastAsia" w:ascii="仿宋_GB2312" w:hAnsi="宋体" w:eastAsia="仿宋_GB2312" w:cs="Calibri"/>
          <w:kern w:val="0"/>
          <w:sz w:val="32"/>
          <w:szCs w:val="32"/>
          <w:shd w:val="clear" w:color="auto" w:fill="FFFFFF"/>
        </w:rPr>
        <w:t>建立健全信息公开工作长效机制，把政务信息公开工作作为长期的动态工作落到实处，确保公开信息的及时性、准确性和有效性，为深化政务信息公开提供强有力的组织保证。</w:t>
      </w:r>
    </w:p>
    <w:p>
      <w:p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spacing w:line="580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六、其他需要报告的事项</w:t>
      </w:r>
    </w:p>
    <w:p>
      <w:p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spacing w:line="580" w:lineRule="exact"/>
        <w:ind w:firstLine="640" w:firstLineChars="200"/>
        <w:rPr>
          <w:rFonts w:hint="eastAsia" w:ascii="仿宋_GB2312" w:hAnsi="宋体" w:eastAsia="仿宋_GB2312" w:cs="Calibri"/>
          <w:kern w:val="0"/>
          <w:sz w:val="32"/>
          <w:szCs w:val="32"/>
          <w:shd w:val="clear" w:color="auto" w:fill="FFFFFF"/>
          <w:lang w:val="en-US" w:eastAsia="en-US" w:bidi="ar-SA"/>
        </w:rPr>
      </w:pPr>
      <w:r>
        <w:rPr>
          <w:rFonts w:hint="eastAsia" w:ascii="仿宋_GB2312" w:hAnsi="宋体" w:eastAsia="仿宋_GB2312" w:cs="Calibri"/>
          <w:kern w:val="0"/>
          <w:sz w:val="32"/>
          <w:szCs w:val="32"/>
          <w:u w:val="none"/>
          <w:shd w:val="clear" w:color="auto" w:fill="FFFFFF"/>
          <w:lang w:val="en-US" w:eastAsia="en-US" w:bidi="ar-SA"/>
        </w:rPr>
        <w:t>本</w:t>
      </w:r>
      <w:r>
        <w:rPr>
          <w:rFonts w:hint="eastAsia" w:ascii="仿宋_GB2312" w:hAnsi="宋体" w:eastAsia="仿宋_GB2312" w:cs="Calibri"/>
          <w:kern w:val="0"/>
          <w:sz w:val="32"/>
          <w:szCs w:val="32"/>
          <w:shd w:val="clear" w:color="auto" w:fill="FFFFFF"/>
          <w:lang w:val="en-US" w:eastAsia="en-US" w:bidi="ar-SA"/>
        </w:rPr>
        <w:t>年度，我局无收取政府信息公开信息处理费的情况。</w:t>
      </w:r>
    </w:p>
    <w:p>
      <w:p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spacing w:line="580" w:lineRule="exact"/>
        <w:ind w:firstLine="640" w:firstLineChars="200"/>
        <w:rPr>
          <w:rFonts w:hint="eastAsia" w:hAnsi="宋体" w:cs="Calibri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hAnsi="宋体" w:cs="Calibri"/>
          <w:kern w:val="0"/>
          <w:sz w:val="32"/>
          <w:szCs w:val="32"/>
          <w:shd w:val="clear" w:color="auto" w:fill="FFFFFF"/>
          <w:lang w:val="en-US" w:eastAsia="zh-CN" w:bidi="ar-SA"/>
        </w:rPr>
        <w:t>我局行政许可、行政处罚通过部门协同监管平台进行双公示。每月</w:t>
      </w:r>
      <w:r>
        <w:rPr>
          <w:rFonts w:hint="eastAsia" w:ascii="仿宋_GB2312" w:hAnsi="宋体" w:eastAsia="仿宋_GB2312" w:cs="Calibri"/>
          <w:kern w:val="0"/>
          <w:sz w:val="32"/>
          <w:szCs w:val="32"/>
          <w:shd w:val="clear" w:color="auto" w:fill="FFFFFF"/>
          <w:lang w:val="en-US" w:eastAsia="en-US" w:bidi="ar-SA"/>
        </w:rPr>
        <w:t>及时发布政府文</w:t>
      </w:r>
      <w:r>
        <w:rPr>
          <w:rFonts w:hint="eastAsia" w:hAnsi="宋体" w:cs="Calibri"/>
          <w:kern w:val="0"/>
          <w:sz w:val="32"/>
          <w:szCs w:val="32"/>
          <w:shd w:val="clear" w:color="auto" w:fill="FFFFFF"/>
          <w:lang w:val="en-US" w:eastAsia="zh-CN" w:bidi="ar-SA"/>
        </w:rPr>
        <w:t>件、政策原文及解读，并及时向市政务公开领导小组报备。</w:t>
      </w:r>
    </w:p>
    <w:p>
      <w:p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spacing w:line="580" w:lineRule="exact"/>
        <w:ind w:firstLine="640" w:firstLineChars="200"/>
        <w:rPr>
          <w:rFonts w:hint="eastAsia" w:hAnsi="宋体" w:cs="Calibri"/>
          <w:kern w:val="0"/>
          <w:sz w:val="32"/>
          <w:szCs w:val="32"/>
          <w:shd w:val="clear" w:color="auto" w:fill="FFFFFF"/>
          <w:lang w:val="en-US" w:eastAsia="zh-CN" w:bidi="ar-SA"/>
        </w:rPr>
      </w:pPr>
    </w:p>
    <w:p/>
    <w:p/>
    <w:p/>
    <w:p/>
    <w:p/>
    <w:p/>
    <w:p/>
    <w:p/>
    <w:p/>
    <w:p/>
    <w:p/>
    <w:p/>
    <w:p/>
    <w:p/>
    <w:p/>
    <w:p/>
    <w:p/>
    <w:p/>
    <w:p/>
    <w:p/>
    <w:sectPr>
      <w:footerReference r:id="rId8" w:type="even"/>
      <w:pgSz w:w="11910" w:h="16840"/>
      <w:pgMar w:top="1420" w:right="840" w:bottom="1160" w:left="1180" w:header="0" w:footer="978" w:gutter="0"/>
      <w:pgNumType w:start="8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6130290</wp:posOffset>
              </wp:positionH>
              <wp:positionV relativeFrom="page">
                <wp:posOffset>10104755</wp:posOffset>
              </wp:positionV>
              <wp:extent cx="508000" cy="203835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宋体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82.7pt;margin-top:795.65pt;height:16.05pt;width:40pt;mso-position-horizontal-relative:page;mso-position-vertical-relative:page;z-index:-251655168;mso-width-relative:page;mso-height-relative:page;" filled="f" stroked="f" coordsize="21600,21600" o:gfxdata="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6eEi9sAAAAOAQAADwAAAAAAAAABACAAAAAiAAAAZHJzL2Rvd25yZXYueG1sUEsB&#10;AhQAFAAAAAgAh07iQGkEj0m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>-</w:t>
                    </w:r>
                    <w:r>
                      <w:rPr>
                        <w:rFonts w:ascii="宋体"/>
                        <w:spacing w:val="-3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1132840</wp:posOffset>
              </wp:positionH>
              <wp:positionV relativeFrom="page">
                <wp:posOffset>9930765</wp:posOffset>
              </wp:positionV>
              <wp:extent cx="508000" cy="20383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89.2pt;margin-top:781.95pt;height:16.05pt;width:40pt;mso-position-horizontal-relative:page;mso-position-vertical-relative:page;z-index:-251657216;mso-width-relative:page;mso-height-relative:page;" filled="f" stroked="f" coordsize="21600,21600" o:gfxdata="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g7xn92gAAAA0BAAAPAAAAAAAAAAEAIAAAACIAAABkcnMvZG93bnJldi54bWxQSwEC&#10;FAAUAAAACACHTuJAiziSC7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ascii="宋体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1132840</wp:posOffset>
              </wp:positionH>
              <wp:positionV relativeFrom="page">
                <wp:posOffset>9930765</wp:posOffset>
              </wp:positionV>
              <wp:extent cx="508000" cy="203835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89.2pt;margin-top:781.95pt;height:16.05pt;width:40pt;mso-position-horizontal-relative:page;mso-position-vertical-relative:page;z-index:-251656192;mso-width-relative:page;mso-height-relative:page;" filled="f" stroked="f" coordsize="21600,21600" o:gfxdata="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g7xn92gAAAA0BAAAPAAAAAAAAAAEAIAAAACIAAABkcnMvZG93bnJldi54bWxQSwEC&#10;FAAUAAAACACHTuJALPFApL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rFonts w:ascii="宋体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WRiYmNjYmMyNmVkMjgyNGE2NjY1YzNjMThkYWQifQ=="/>
  </w:docVars>
  <w:rsids>
    <w:rsidRoot w:val="00000000"/>
    <w:rsid w:val="34E93AD0"/>
    <w:rsid w:val="38494950"/>
    <w:rsid w:val="43935DC9"/>
    <w:rsid w:val="506539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90"/>
      <w:ind w:left="511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5">
    <w:name w:val="Table Paragraph"/>
    <w:basedOn w:val="1"/>
    <w:autoRedefine/>
    <w:qFormat/>
    <w:uiPriority w:val="1"/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1957</Words>
  <Characters>2011</Characters>
  <Lines>0</Lines>
  <Paragraphs>0</Paragraphs>
  <TotalTime>10</TotalTime>
  <ScaleCrop>false</ScaleCrop>
  <LinksUpToDate>false</LinksUpToDate>
  <CharactersWithSpaces>2035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2023-01-12T10:27:00Z</dcterms:created>
  <dc:creator>婧舞其姝િ</dc:creator>
  <cp:lastModifiedBy>.</cp:lastModifiedBy>
  <dcterms:modified xsi:type="dcterms:W3CDTF">2024-01-24T09:38:18Z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82EF608DDACC48678785FB7303F5112A_13</vt:lpwstr>
  </property>
</Properties>
</file>