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46DDE">
      <w:pPr>
        <w:keepNext w:val="0"/>
        <w:keepLines w:val="0"/>
        <w:pageBreakBefore w:val="0"/>
        <w:widowControl w:val="0"/>
        <w:kinsoku/>
        <w:wordWrap/>
        <w:overflowPunct/>
        <w:topLinePunct w:val="0"/>
        <w:bidi w:val="0"/>
        <w:spacing w:line="600" w:lineRule="exact"/>
        <w:jc w:val="center"/>
        <w:textAlignment w:val="auto"/>
        <w:rPr>
          <w:rFonts w:hint="eastAsia" w:ascii="新宋体" w:hAnsi="新宋体" w:eastAsia="新宋体"/>
          <w:sz w:val="44"/>
          <w:szCs w:val="44"/>
        </w:rPr>
      </w:pPr>
    </w:p>
    <w:p w14:paraId="7626198C">
      <w:pPr>
        <w:keepNext w:val="0"/>
        <w:keepLines w:val="0"/>
        <w:pageBreakBefore w:val="0"/>
        <w:widowControl w:val="0"/>
        <w:kinsoku/>
        <w:wordWrap/>
        <w:overflowPunct/>
        <w:topLinePunct w:val="0"/>
        <w:bidi w:val="0"/>
        <w:spacing w:line="600" w:lineRule="exact"/>
        <w:jc w:val="center"/>
        <w:textAlignment w:val="auto"/>
        <w:rPr>
          <w:rFonts w:hint="eastAsia" w:ascii="新宋体" w:hAnsi="新宋体" w:eastAsia="新宋体"/>
          <w:sz w:val="44"/>
          <w:szCs w:val="44"/>
        </w:rPr>
      </w:pPr>
    </w:p>
    <w:p w14:paraId="2CB56A56">
      <w:pPr>
        <w:keepNext w:val="0"/>
        <w:keepLines w:val="0"/>
        <w:pageBreakBefore w:val="0"/>
        <w:widowControl w:val="0"/>
        <w:kinsoku/>
        <w:wordWrap/>
        <w:overflowPunct/>
        <w:topLinePunct w:val="0"/>
        <w:bidi w:val="0"/>
        <w:spacing w:line="600" w:lineRule="exact"/>
        <w:jc w:val="center"/>
        <w:textAlignment w:val="auto"/>
        <w:rPr>
          <w:rFonts w:hint="eastAsia" w:ascii="新宋体" w:hAnsi="新宋体" w:eastAsia="新宋体"/>
          <w:sz w:val="44"/>
          <w:szCs w:val="44"/>
        </w:rPr>
      </w:pPr>
    </w:p>
    <w:p w14:paraId="1783F6F5">
      <w:pPr>
        <w:keepNext w:val="0"/>
        <w:keepLines w:val="0"/>
        <w:pageBreakBefore w:val="0"/>
        <w:widowControl w:val="0"/>
        <w:kinsoku/>
        <w:wordWrap/>
        <w:overflowPunct/>
        <w:topLinePunct w:val="0"/>
        <w:bidi w:val="0"/>
        <w:spacing w:line="600" w:lineRule="exact"/>
        <w:jc w:val="center"/>
        <w:textAlignment w:val="auto"/>
        <w:rPr>
          <w:rFonts w:ascii="新宋体" w:hAnsi="新宋体" w:eastAsia="新宋体"/>
          <w:sz w:val="44"/>
          <w:szCs w:val="44"/>
        </w:rPr>
      </w:pPr>
    </w:p>
    <w:p w14:paraId="2EA2657B">
      <w:pPr>
        <w:keepNext w:val="0"/>
        <w:keepLines w:val="0"/>
        <w:pageBreakBefore w:val="0"/>
        <w:widowControl w:val="0"/>
        <w:kinsoku/>
        <w:wordWrap/>
        <w:overflowPunct/>
        <w:topLinePunct w:val="0"/>
        <w:bidi w:val="0"/>
        <w:spacing w:line="600" w:lineRule="exact"/>
        <w:jc w:val="center"/>
        <w:textAlignment w:val="auto"/>
        <w:rPr>
          <w:rFonts w:ascii="新宋体" w:hAnsi="新宋体" w:eastAsia="新宋体"/>
          <w:sz w:val="44"/>
          <w:szCs w:val="44"/>
        </w:rPr>
      </w:pPr>
    </w:p>
    <w:p w14:paraId="6C2F8E77">
      <w:pPr>
        <w:keepNext w:val="0"/>
        <w:keepLines w:val="0"/>
        <w:pageBreakBefore w:val="0"/>
        <w:widowControl w:val="0"/>
        <w:kinsoku/>
        <w:wordWrap/>
        <w:overflowPunct/>
        <w:topLinePunct w:val="0"/>
        <w:bidi w:val="0"/>
        <w:spacing w:line="600" w:lineRule="exact"/>
        <w:jc w:val="center"/>
        <w:textAlignment w:val="auto"/>
        <w:rPr>
          <w:rFonts w:ascii="新宋体" w:hAnsi="新宋体" w:eastAsia="新宋体"/>
          <w:sz w:val="44"/>
          <w:szCs w:val="44"/>
        </w:rPr>
      </w:pPr>
    </w:p>
    <w:p w14:paraId="06DDB512">
      <w:pPr>
        <w:keepNext w:val="0"/>
        <w:keepLines w:val="0"/>
        <w:pageBreakBefore w:val="0"/>
        <w:widowControl w:val="0"/>
        <w:kinsoku/>
        <w:wordWrap/>
        <w:overflowPunct/>
        <w:topLinePunct w:val="0"/>
        <w:bidi w:val="0"/>
        <w:spacing w:line="600" w:lineRule="exact"/>
        <w:jc w:val="center"/>
        <w:textAlignment w:val="auto"/>
        <w:rPr>
          <w:rFonts w:ascii="新宋体" w:hAnsi="新宋体" w:eastAsia="新宋体"/>
          <w:sz w:val="44"/>
          <w:szCs w:val="44"/>
        </w:rPr>
      </w:pPr>
    </w:p>
    <w:p w14:paraId="2CEB4CDA">
      <w:pPr>
        <w:keepNext w:val="0"/>
        <w:keepLines w:val="0"/>
        <w:pageBreakBefore w:val="0"/>
        <w:widowControl w:val="0"/>
        <w:kinsoku/>
        <w:wordWrap/>
        <w:overflowPunct/>
        <w:topLinePunct w:val="0"/>
        <w:bidi w:val="0"/>
        <w:spacing w:line="600" w:lineRule="exact"/>
        <w:jc w:val="center"/>
        <w:textAlignment w:val="auto"/>
        <w:rPr>
          <w:rFonts w:ascii="新宋体" w:hAnsi="新宋体" w:eastAsia="新宋体"/>
          <w:sz w:val="44"/>
          <w:szCs w:val="44"/>
        </w:rPr>
      </w:pPr>
    </w:p>
    <w:p w14:paraId="1921F4A3">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新宋体" w:hAnsi="新宋体" w:eastAsia="新宋体"/>
          <w:sz w:val="44"/>
          <w:szCs w:val="44"/>
        </w:rPr>
      </w:pPr>
    </w:p>
    <w:p w14:paraId="2E3494BF">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ascii="仿宋_GB2312" w:eastAsia="仿宋_GB2312"/>
          <w:kern w:val="0"/>
          <w:sz w:val="32"/>
          <w:szCs w:val="32"/>
        </w:rPr>
      </w:pPr>
      <w:r>
        <w:rPr>
          <w:rFonts w:hint="eastAsia" w:ascii="仿宋_GB2312" w:eastAsia="仿宋_GB2312"/>
          <w:kern w:val="0"/>
          <w:sz w:val="32"/>
          <w:szCs w:val="32"/>
        </w:rPr>
        <w:t>乌司通〔202</w:t>
      </w:r>
      <w:r>
        <w:rPr>
          <w:rFonts w:hint="eastAsia" w:ascii="仿宋_GB2312" w:eastAsia="仿宋_GB2312"/>
          <w:kern w:val="0"/>
          <w:sz w:val="32"/>
          <w:szCs w:val="32"/>
          <w:lang w:val="en-US" w:eastAsia="zh-CN"/>
        </w:rPr>
        <w:t>5</w:t>
      </w:r>
      <w:r>
        <w:rPr>
          <w:rFonts w:hint="eastAsia" w:ascii="仿宋_GB2312" w:eastAsia="仿宋_GB2312"/>
          <w:kern w:val="0"/>
          <w:sz w:val="32"/>
          <w:szCs w:val="32"/>
        </w:rPr>
        <w:t>〕</w:t>
      </w:r>
      <w:r>
        <w:rPr>
          <w:rFonts w:hint="eastAsia" w:ascii="仿宋_GB2312" w:eastAsia="仿宋_GB2312"/>
          <w:kern w:val="0"/>
          <w:sz w:val="32"/>
          <w:szCs w:val="32"/>
          <w:lang w:val="en-US" w:eastAsia="zh-CN"/>
        </w:rPr>
        <w:t>3</w:t>
      </w:r>
      <w:r>
        <w:rPr>
          <w:rFonts w:hint="eastAsia" w:ascii="仿宋_GB2312" w:eastAsia="仿宋_GB2312"/>
          <w:kern w:val="0"/>
          <w:sz w:val="32"/>
          <w:szCs w:val="32"/>
        </w:rPr>
        <w:t>号</w:t>
      </w:r>
    </w:p>
    <w:p w14:paraId="24D6DB04">
      <w:pPr>
        <w:keepNext w:val="0"/>
        <w:keepLines w:val="0"/>
        <w:pageBreakBefore w:val="0"/>
        <w:widowControl w:val="0"/>
        <w:kinsoku/>
        <w:wordWrap/>
        <w:overflowPunct/>
        <w:topLinePunct w:val="0"/>
        <w:bidi w:val="0"/>
        <w:spacing w:line="600" w:lineRule="exact"/>
        <w:jc w:val="center"/>
        <w:textAlignment w:val="auto"/>
        <w:rPr>
          <w:rFonts w:ascii="仿宋_GB2312" w:hAnsi="新宋体" w:eastAsia="仿宋_GB2312"/>
          <w:color w:val="000000" w:themeColor="text1"/>
          <w:sz w:val="32"/>
          <w:szCs w:val="32"/>
          <w14:textFill>
            <w14:solidFill>
              <w14:schemeClr w14:val="tx1"/>
            </w14:solidFill>
          </w14:textFill>
        </w:rPr>
      </w:pPr>
    </w:p>
    <w:p w14:paraId="62E1A428">
      <w:pPr>
        <w:keepNext w:val="0"/>
        <w:keepLines w:val="0"/>
        <w:pageBreakBefore w:val="0"/>
        <w:widowControl w:val="0"/>
        <w:shd w:val="clear" w:color="auto" w:fill="auto"/>
        <w:kinsoku/>
        <w:wordWrap/>
        <w:overflowPunct w:val="0"/>
        <w:topLinePunct/>
        <w:autoSpaceDE/>
        <w:autoSpaceDN/>
        <w:bidi w:val="0"/>
        <w:adjustRightInd/>
        <w:snapToGrid/>
        <w:spacing w:line="580" w:lineRule="exact"/>
        <w:ind w:left="0"/>
        <w:jc w:val="center"/>
        <w:textAlignment w:val="auto"/>
        <w:rPr>
          <w:rFonts w:hint="eastAsia" w:ascii="Times New Roman" w:hAnsi="Times New Roman" w:eastAsia="方正小标宋简体" w:cs="方正小标宋简体"/>
          <w:color w:val="000000"/>
          <w:sz w:val="44"/>
          <w:szCs w:val="44"/>
          <w:lang w:val="en-US" w:eastAsia="zh-CN"/>
        </w:rPr>
      </w:pPr>
      <w:r>
        <w:rPr>
          <w:rFonts w:hint="eastAsia" w:ascii="Times New Roman" w:hAnsi="Times New Roman" w:eastAsia="方正小标宋简体" w:cs="方正小标宋简体"/>
          <w:color w:val="000000"/>
          <w:sz w:val="44"/>
          <w:szCs w:val="44"/>
          <w:lang w:val="en-US" w:eastAsia="zh-CN"/>
        </w:rPr>
        <w:t>关于印发《202</w:t>
      </w:r>
      <w:r>
        <w:rPr>
          <w:rFonts w:hint="eastAsia" w:eastAsia="方正小标宋简体" w:cs="方正小标宋简体"/>
          <w:color w:val="000000"/>
          <w:sz w:val="44"/>
          <w:szCs w:val="44"/>
          <w:lang w:val="en-US" w:eastAsia="zh-CN"/>
        </w:rPr>
        <w:t>5</w:t>
      </w:r>
      <w:r>
        <w:rPr>
          <w:rFonts w:hint="eastAsia" w:ascii="Times New Roman" w:hAnsi="Times New Roman" w:eastAsia="方正小标宋简体" w:cs="方正小标宋简体"/>
          <w:color w:val="000000"/>
          <w:sz w:val="44"/>
          <w:szCs w:val="44"/>
          <w:lang w:val="en-US" w:eastAsia="zh-CN"/>
        </w:rPr>
        <w:t>年全市司法行政</w:t>
      </w:r>
    </w:p>
    <w:p w14:paraId="7B75569B">
      <w:pPr>
        <w:keepNext w:val="0"/>
        <w:keepLines w:val="0"/>
        <w:pageBreakBefore w:val="0"/>
        <w:widowControl/>
        <w:shd w:val="clear" w:color="auto" w:fill="FFFFFF"/>
        <w:kinsoku/>
        <w:wordWrap/>
        <w:overflowPunct/>
        <w:topLinePunct w:val="0"/>
        <w:autoSpaceDE/>
        <w:autoSpaceDN/>
        <w:bidi w:val="0"/>
        <w:adjustRightInd/>
        <w:snapToGrid/>
        <w:spacing w:line="660" w:lineRule="exact"/>
        <w:jc w:val="center"/>
        <w:textAlignment w:val="auto"/>
        <w:rPr>
          <w:rFonts w:ascii="仿宋" w:hAnsi="仿宋" w:eastAsia="仿宋" w:cs="仿宋"/>
          <w:sz w:val="44"/>
          <w:szCs w:val="44"/>
        </w:rPr>
      </w:pPr>
      <w:r>
        <w:rPr>
          <w:rFonts w:hint="eastAsia" w:ascii="Times New Roman" w:hAnsi="Times New Roman" w:eastAsia="方正小标宋简体" w:cs="方正小标宋简体"/>
          <w:color w:val="000000"/>
          <w:sz w:val="44"/>
          <w:szCs w:val="44"/>
          <w:lang w:val="en-US" w:eastAsia="zh-CN"/>
        </w:rPr>
        <w:t>工作要点》的通知</w:t>
      </w:r>
    </w:p>
    <w:p w14:paraId="302601C0">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sz w:val="32"/>
          <w:szCs w:val="32"/>
          <w:lang w:eastAsia="zh-CN"/>
        </w:rPr>
      </w:pPr>
    </w:p>
    <w:p w14:paraId="41E61B4F">
      <w:pPr>
        <w:keepNext w:val="0"/>
        <w:keepLines w:val="0"/>
        <w:pageBreakBefore w:val="0"/>
        <w:widowControl w:val="0"/>
        <w:shd w:val="clear" w:color="auto" w:fill="auto"/>
        <w:kinsoku/>
        <w:wordWrap/>
        <w:overflowPunct w:val="0"/>
        <w:topLinePunct/>
        <w:autoSpaceDE/>
        <w:autoSpaceDN/>
        <w:bidi w:val="0"/>
        <w:adjustRightInd/>
        <w:snapToGrid/>
        <w:spacing w:line="560" w:lineRule="exact"/>
        <w:ind w:left="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各区司法局，机关各科室支队，各直属二级单位：</w:t>
      </w:r>
    </w:p>
    <w:p w14:paraId="047560FE">
      <w:pPr>
        <w:keepNext w:val="0"/>
        <w:keepLines w:val="0"/>
        <w:pageBreakBefore w:val="0"/>
        <w:widowControl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现将《2025年全市司法行政工作要点》印发给你们，请结合实际，认真贯彻落实。</w:t>
      </w:r>
    </w:p>
    <w:p w14:paraId="10BA6497">
      <w:pPr>
        <w:keepNext w:val="0"/>
        <w:keepLines w:val="0"/>
        <w:pageBreakBefore w:val="0"/>
        <w:widowControl w:val="0"/>
        <w:shd w:val="clear" w:color="auto" w:fill="auto"/>
        <w:kinsoku/>
        <w:wordWrap/>
        <w:overflowPunct w:val="0"/>
        <w:topLinePunct/>
        <w:autoSpaceDE/>
        <w:autoSpaceDN/>
        <w:bidi w:val="0"/>
        <w:adjustRightInd/>
        <w:snapToGrid/>
        <w:spacing w:line="560" w:lineRule="exact"/>
        <w:ind w:left="0"/>
        <w:jc w:val="both"/>
        <w:textAlignment w:val="auto"/>
        <w:rPr>
          <w:rFonts w:hint="eastAsia" w:ascii="仿宋" w:hAnsi="仿宋" w:eastAsia="仿宋" w:cs="仿宋"/>
          <w:color w:val="000000"/>
          <w:sz w:val="32"/>
          <w:szCs w:val="32"/>
          <w:lang w:val="en-US" w:eastAsia="zh-CN"/>
        </w:rPr>
      </w:pPr>
    </w:p>
    <w:p w14:paraId="45E9F624">
      <w:pPr>
        <w:keepNext w:val="0"/>
        <w:keepLines w:val="0"/>
        <w:pageBreakBefore w:val="0"/>
        <w:widowControl w:val="0"/>
        <w:shd w:val="clear" w:color="auto" w:fill="auto"/>
        <w:kinsoku/>
        <w:wordWrap/>
        <w:overflowPunct w:val="0"/>
        <w:topLinePunct/>
        <w:autoSpaceDE/>
        <w:autoSpaceDN/>
        <w:bidi w:val="0"/>
        <w:adjustRightInd/>
        <w:snapToGrid/>
        <w:spacing w:line="560" w:lineRule="exact"/>
        <w:ind w:left="0"/>
        <w:jc w:val="both"/>
        <w:textAlignment w:val="auto"/>
        <w:rPr>
          <w:rFonts w:hint="eastAsia" w:ascii="仿宋" w:hAnsi="仿宋" w:eastAsia="仿宋" w:cs="仿宋"/>
          <w:color w:val="000000"/>
          <w:sz w:val="32"/>
          <w:szCs w:val="32"/>
          <w:lang w:val="en-US" w:eastAsia="zh-CN"/>
        </w:rPr>
      </w:pPr>
    </w:p>
    <w:p w14:paraId="22CCDA57">
      <w:pPr>
        <w:keepNext w:val="0"/>
        <w:keepLines w:val="0"/>
        <w:pageBreakBefore w:val="0"/>
        <w:widowControl w:val="0"/>
        <w:shd w:val="clear" w:color="auto" w:fill="auto"/>
        <w:kinsoku/>
        <w:wordWrap/>
        <w:overflowPunct w:val="0"/>
        <w:topLinePunct/>
        <w:autoSpaceDE/>
        <w:autoSpaceDN/>
        <w:bidi w:val="0"/>
        <w:adjustRightInd/>
        <w:snapToGrid/>
        <w:spacing w:line="560" w:lineRule="exact"/>
        <w:ind w:firstLine="5120" w:firstLineChars="1600"/>
        <w:jc w:val="both"/>
        <w:textAlignment w:val="auto"/>
        <w:rPr>
          <w:rFonts w:hint="default" w:ascii="仿宋_GB2312" w:hAnsi="仿宋_GB2312" w:eastAsia="仿宋_GB2312" w:cs="仿宋_GB2312"/>
          <w:color w:val="000000"/>
          <w:sz w:val="32"/>
          <w:szCs w:val="32"/>
          <w:lang w:val="en-US" w:eastAsia="zh-CN"/>
        </w:rPr>
      </w:pPr>
      <w:bookmarkStart w:id="0" w:name="_GoBack"/>
      <w:bookmarkEnd w:id="0"/>
      <w:r>
        <w:rPr>
          <w:rFonts w:hint="eastAsia" w:ascii="仿宋" w:hAnsi="仿宋" w:eastAsia="仿宋" w:cs="仿宋"/>
          <w:color w:val="000000"/>
          <w:sz w:val="32"/>
          <w:szCs w:val="32"/>
          <w:lang w:val="en-US" w:eastAsia="zh-CN"/>
        </w:rPr>
        <w:t>2025年2月12日</w:t>
      </w:r>
    </w:p>
    <w:p w14:paraId="3DAA4494">
      <w:pPr>
        <w:keepNext w:val="0"/>
        <w:keepLines w:val="0"/>
        <w:pageBreakBefore w:val="0"/>
        <w:widowControl w:val="0"/>
        <w:shd w:val="clear" w:color="auto" w:fill="auto"/>
        <w:kinsoku/>
        <w:wordWrap/>
        <w:overflowPunct w:val="0"/>
        <w:topLinePunct/>
        <w:autoSpaceDE/>
        <w:autoSpaceDN/>
        <w:bidi w:val="0"/>
        <w:adjustRightInd/>
        <w:snapToGrid/>
        <w:spacing w:line="580" w:lineRule="exact"/>
        <w:ind w:left="0"/>
        <w:jc w:val="both"/>
        <w:textAlignment w:val="auto"/>
        <w:rPr>
          <w:rFonts w:hint="eastAsia" w:ascii="Times New Roman" w:hAnsi="Times New Roman" w:eastAsia="方正小标宋简体" w:cs="方正小标宋简体"/>
          <w:color w:val="000000"/>
          <w:sz w:val="44"/>
          <w:szCs w:val="44"/>
          <w:lang w:val="en-US" w:eastAsia="zh-CN"/>
        </w:rPr>
      </w:pPr>
    </w:p>
    <w:p w14:paraId="205BA89D">
      <w:pPr>
        <w:rPr>
          <w:rFonts w:hint="eastAsia"/>
          <w:lang w:val="en-US" w:eastAsia="zh-CN"/>
        </w:rPr>
      </w:pPr>
    </w:p>
    <w:p w14:paraId="0854BDBF">
      <w:pPr>
        <w:keepNext w:val="0"/>
        <w:keepLines w:val="0"/>
        <w:pageBreakBefore w:val="0"/>
        <w:widowControl w:val="0"/>
        <w:shd w:val="clear" w:color="auto" w:fill="auto"/>
        <w:kinsoku/>
        <w:wordWrap/>
        <w:overflowPunct w:val="0"/>
        <w:topLinePunct/>
        <w:autoSpaceDE/>
        <w:autoSpaceDN/>
        <w:bidi w:val="0"/>
        <w:adjustRightInd/>
        <w:snapToGrid/>
        <w:spacing w:line="580" w:lineRule="exact"/>
        <w:ind w:left="0"/>
        <w:jc w:val="center"/>
        <w:textAlignment w:val="auto"/>
        <w:rPr>
          <w:rFonts w:hint="default" w:ascii="Times New Roman" w:hAnsi="Times New Roman" w:eastAsia="方正小标宋简体" w:cs="方正小标宋简体"/>
          <w:color w:val="000000"/>
          <w:sz w:val="44"/>
          <w:szCs w:val="44"/>
          <w:lang w:val="en" w:eastAsia="zh-CN"/>
        </w:rPr>
      </w:pPr>
      <w:r>
        <w:rPr>
          <w:rFonts w:hint="eastAsia" w:ascii="Times New Roman" w:hAnsi="Times New Roman" w:eastAsia="方正小标宋简体" w:cs="方正小标宋简体"/>
          <w:color w:val="000000"/>
          <w:sz w:val="44"/>
          <w:szCs w:val="44"/>
          <w:lang w:val="en-US" w:eastAsia="zh-CN"/>
        </w:rPr>
        <w:t>202</w:t>
      </w:r>
      <w:r>
        <w:rPr>
          <w:rFonts w:hint="default" w:eastAsia="方正小标宋简体" w:cs="方正小标宋简体"/>
          <w:color w:val="000000"/>
          <w:sz w:val="44"/>
          <w:szCs w:val="44"/>
          <w:lang w:val="en-US" w:eastAsia="zh-CN"/>
        </w:rPr>
        <w:t>5</w:t>
      </w:r>
      <w:r>
        <w:rPr>
          <w:rFonts w:hint="eastAsia" w:ascii="Times New Roman" w:hAnsi="Times New Roman" w:eastAsia="方正小标宋简体" w:cs="方正小标宋简体"/>
          <w:color w:val="000000"/>
          <w:sz w:val="44"/>
          <w:szCs w:val="44"/>
          <w:lang w:val="en-US" w:eastAsia="zh-CN"/>
        </w:rPr>
        <w:t>年</w:t>
      </w:r>
      <w:r>
        <w:rPr>
          <w:rFonts w:hint="eastAsia" w:ascii="Times New Roman" w:hAnsi="Times New Roman" w:eastAsia="方正小标宋简体" w:cs="方正小标宋简体"/>
          <w:color w:val="000000"/>
          <w:sz w:val="44"/>
          <w:szCs w:val="44"/>
          <w:lang w:eastAsia="zh-CN"/>
        </w:rPr>
        <w:t>全市司法行政</w:t>
      </w:r>
      <w:r>
        <w:rPr>
          <w:rFonts w:hint="eastAsia" w:ascii="Times New Roman" w:hAnsi="Times New Roman" w:eastAsia="方正小标宋简体" w:cs="方正小标宋简体"/>
          <w:color w:val="000000"/>
          <w:sz w:val="44"/>
          <w:szCs w:val="44"/>
          <w:lang w:val="en-US" w:eastAsia="zh-CN"/>
        </w:rPr>
        <w:t>工作要点</w:t>
      </w:r>
    </w:p>
    <w:p w14:paraId="4536C6F3">
      <w:pPr>
        <w:keepNext w:val="0"/>
        <w:keepLines w:val="0"/>
        <w:pageBreakBefore w:val="0"/>
        <w:widowControl w:val="0"/>
        <w:shd w:val="clear" w:color="auto" w:fill="auto"/>
        <w:kinsoku/>
        <w:wordWrap/>
        <w:overflowPunct w:val="0"/>
        <w:topLinePunct/>
        <w:autoSpaceDE/>
        <w:autoSpaceDN/>
        <w:bidi w:val="0"/>
        <w:adjustRightInd/>
        <w:snapToGrid/>
        <w:spacing w:line="560" w:lineRule="exact"/>
        <w:ind w:left="0" w:firstLine="640"/>
        <w:jc w:val="both"/>
        <w:textAlignment w:val="auto"/>
        <w:rPr>
          <w:rFonts w:hint="eastAsia" w:ascii="Times New Roman" w:hAnsi="Times New Roman" w:eastAsia="黑体" w:cs="黑体"/>
          <w:color w:val="000000"/>
          <w:sz w:val="32"/>
          <w:szCs w:val="32"/>
          <w:lang w:val="en-US" w:eastAsia="zh-CN"/>
        </w:rPr>
      </w:pPr>
    </w:p>
    <w:p w14:paraId="774990F8">
      <w:pPr>
        <w:keepNext w:val="0"/>
        <w:keepLines w:val="0"/>
        <w:pageBreakBefore w:val="0"/>
        <w:widowControl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
          <w:bCs/>
          <w:color w:val="000000"/>
          <w:sz w:val="32"/>
          <w:szCs w:val="32"/>
          <w:lang w:val="en-US" w:eastAsia="zh-CN"/>
        </w:rPr>
      </w:pPr>
      <w:r>
        <w:rPr>
          <w:rFonts w:hint="eastAsia" w:ascii="仿宋" w:hAnsi="仿宋" w:eastAsia="仿宋" w:cs="仿宋"/>
          <w:b w:val="0"/>
          <w:bCs w:val="0"/>
          <w:color w:val="auto"/>
          <w:sz w:val="32"/>
          <w:szCs w:val="32"/>
          <w:lang w:val="en-US" w:eastAsia="zh-CN"/>
        </w:rPr>
        <w:t>2025年是“十四五”规划收官之年、“十五五”规划谋划之年，也是进一步全面深化改革、推动中国式现代化行稳致远的关键一年。全市司法行政工作</w:t>
      </w:r>
      <w:r>
        <w:rPr>
          <w:rFonts w:hint="eastAsia" w:ascii="仿宋" w:hAnsi="仿宋" w:eastAsia="仿宋" w:cs="仿宋"/>
          <w:b/>
          <w:bCs/>
          <w:color w:val="auto"/>
          <w:sz w:val="32"/>
          <w:szCs w:val="32"/>
          <w:lang w:val="en-US" w:eastAsia="zh-CN"/>
        </w:rPr>
        <w:t>总体要求</w:t>
      </w:r>
      <w:r>
        <w:rPr>
          <w:rFonts w:hint="eastAsia" w:ascii="仿宋" w:hAnsi="仿宋" w:eastAsia="仿宋" w:cs="仿宋"/>
          <w:b w:val="0"/>
          <w:bCs w:val="0"/>
          <w:color w:val="auto"/>
          <w:sz w:val="32"/>
          <w:szCs w:val="32"/>
          <w:lang w:val="en-US" w:eastAsia="zh-CN"/>
        </w:rPr>
        <w:t>是：</w:t>
      </w:r>
      <w:r>
        <w:rPr>
          <w:rFonts w:hint="eastAsia" w:ascii="仿宋" w:hAnsi="仿宋" w:eastAsia="仿宋" w:cs="仿宋"/>
          <w:b/>
          <w:bCs/>
          <w:color w:val="auto"/>
          <w:sz w:val="32"/>
          <w:szCs w:val="32"/>
          <w:lang w:val="en-US" w:eastAsia="zh-CN"/>
        </w:rPr>
        <w:t>坚持以习近平新时代中国特色社会主义思想为指导，深刻领悟“两个确立”的决定性意义，增强“四个意识”、坚定“四个自信”、做到“两个维护”，全面贯彻落实党的二十大和二十届二中、三中全会精神，深入践行习近平法治思想和习近平总书记对政法工作的重要指示精神，牢牢坚持党的绝对领导，贯穿一条主线、办好两件大事、弘扬蒙古马精神、闯新路进中游，以党建为引领，以进一步全面深化改革为动力，以法治建设为抓手，以平安建设为基础，以基层基础为重点，以队伍建设为支撑，稳中求进、守正创新，干字当头、挺膺担当，加快推动司法行政工作高质量发展，为我市打造小而精、小而强的现代产业体系和小而美、小而优的精品城市，加快推进经济社会全面绿色低碳转型贡献司法行政力量。</w:t>
      </w:r>
    </w:p>
    <w:p w14:paraId="5DDEAA96">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黑体" w:hAnsi="黑体" w:eastAsia="黑体" w:cs="黑体"/>
          <w:i w:val="0"/>
          <w:caps w:val="0"/>
          <w:color w:val="000000"/>
          <w:spacing w:val="0"/>
          <w:kern w:val="0"/>
          <w:sz w:val="32"/>
          <w:szCs w:val="32"/>
          <w:shd w:val="clear" w:color="auto" w:fill="FFFFFF"/>
          <w:lang w:val="en-US" w:eastAsia="zh-CN" w:bidi="ar"/>
        </w:rPr>
      </w:pPr>
      <w:r>
        <w:rPr>
          <w:rFonts w:hint="eastAsia" w:ascii="黑体" w:hAnsi="黑体" w:eastAsia="黑体" w:cs="黑体"/>
          <w:i w:val="0"/>
          <w:caps w:val="0"/>
          <w:color w:val="000000"/>
          <w:spacing w:val="0"/>
          <w:kern w:val="0"/>
          <w:sz w:val="32"/>
          <w:szCs w:val="32"/>
          <w:shd w:val="clear" w:color="auto" w:fill="FFFFFF"/>
          <w:lang w:val="en-US" w:eastAsia="zh-CN" w:bidi="ar"/>
        </w:rPr>
        <w:t>一、加强党对司法行政工作的绝对领导</w:t>
      </w:r>
    </w:p>
    <w:p w14:paraId="6AE85648">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楷体" w:hAnsi="楷体" w:eastAsia="楷体" w:cs="楷体"/>
          <w:b w:val="0"/>
          <w:bCs w:val="0"/>
          <w:i w:val="0"/>
          <w:caps w:val="0"/>
          <w:color w:val="000000"/>
          <w:spacing w:val="0"/>
          <w:kern w:val="0"/>
          <w:sz w:val="32"/>
          <w:szCs w:val="32"/>
          <w:shd w:val="clear" w:color="auto" w:fill="FFFFFF"/>
          <w:lang w:val="en-US" w:eastAsia="zh-CN" w:bidi="ar"/>
        </w:rPr>
      </w:pPr>
      <w:r>
        <w:rPr>
          <w:rFonts w:hint="eastAsia" w:ascii="楷体" w:hAnsi="楷体" w:eastAsia="楷体" w:cs="楷体"/>
          <w:b w:val="0"/>
          <w:bCs w:val="0"/>
          <w:i w:val="0"/>
          <w:caps w:val="0"/>
          <w:color w:val="000000"/>
          <w:spacing w:val="0"/>
          <w:kern w:val="0"/>
          <w:sz w:val="32"/>
          <w:szCs w:val="32"/>
          <w:shd w:val="clear" w:color="auto" w:fill="FFFFFF"/>
          <w:lang w:val="en-US" w:eastAsia="zh-CN" w:bidi="ar"/>
        </w:rPr>
        <w:t>1.坚持不懈用党的创新理论凝心铸魂。</w:t>
      </w:r>
    </w:p>
    <w:p w14:paraId="3269993D">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i w:val="0"/>
          <w:caps w:val="0"/>
          <w:color w:val="000000"/>
          <w:spacing w:val="0"/>
          <w:kern w:val="0"/>
          <w:sz w:val="32"/>
          <w:szCs w:val="32"/>
          <w:shd w:val="clear" w:color="auto" w:fill="FFFFFF"/>
          <w:lang w:val="en" w:eastAsia="zh-CN" w:bidi="ar"/>
        </w:rPr>
      </w:pPr>
      <w:r>
        <w:rPr>
          <w:rFonts w:hint="eastAsia" w:ascii="仿宋" w:hAnsi="仿宋" w:eastAsia="仿宋" w:cs="仿宋"/>
          <w:b w:val="0"/>
          <w:bCs w:val="0"/>
          <w:i w:val="0"/>
          <w:caps w:val="0"/>
          <w:color w:val="auto"/>
          <w:spacing w:val="0"/>
          <w:kern w:val="0"/>
          <w:sz w:val="32"/>
          <w:szCs w:val="32"/>
          <w:shd w:val="clear" w:color="auto" w:fill="FFFFFF"/>
          <w:lang w:val="en-US" w:eastAsia="zh-CN" w:bidi="ar"/>
        </w:rPr>
        <w:t>坚持不懈学悟笃行习近平新时代中国特色社会主义思想，深化落实“第一议题”制度，完善政治监督、理论学习中心组集体学习、督查督办等制度，强化对党忠诚教育、理想信念教育、政治机关意识教育，实现分层分级全覆盖政治轮训，切实增强思想自觉、法治自信。全面落实意识形态工作责任制，持续加强正面引导、分析研判和阵地建设，提高舆情应对能力，有效防范处置各类风险。</w:t>
      </w:r>
    </w:p>
    <w:p w14:paraId="3EA6CD51">
      <w:pPr>
        <w:keepNext w:val="0"/>
        <w:keepLines w:val="0"/>
        <w:pageBreakBefore w:val="0"/>
        <w:widowControl w:val="0"/>
        <w:numPr>
          <w:ilvl w:val="0"/>
          <w:numId w:val="0"/>
        </w:numPr>
        <w:suppressLineNumbers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
          <w:bCs/>
          <w:i w:val="0"/>
          <w:caps w:val="0"/>
          <w:color w:val="000000"/>
          <w:spacing w:val="0"/>
          <w:kern w:val="0"/>
          <w:sz w:val="32"/>
          <w:szCs w:val="32"/>
          <w:shd w:val="clear" w:color="auto" w:fill="FFFFFF"/>
          <w:lang w:val="en-US" w:eastAsia="zh-CN" w:bidi="ar"/>
        </w:rPr>
      </w:pPr>
      <w:r>
        <w:rPr>
          <w:rFonts w:hint="eastAsia" w:ascii="楷体" w:hAnsi="楷体" w:eastAsia="楷体" w:cs="楷体"/>
          <w:b w:val="0"/>
          <w:bCs w:val="0"/>
          <w:i w:val="0"/>
          <w:caps w:val="0"/>
          <w:color w:val="000000"/>
          <w:spacing w:val="0"/>
          <w:kern w:val="0"/>
          <w:sz w:val="32"/>
          <w:szCs w:val="32"/>
          <w:shd w:val="clear" w:color="auto" w:fill="FFFFFF"/>
          <w:lang w:val="en-US" w:eastAsia="zh-CN" w:bidi="ar"/>
        </w:rPr>
        <w:t>2.全面贯彻落实铸牢中华民族共同体意识工作主线。</w:t>
      </w:r>
    </w:p>
    <w:p w14:paraId="5FF371BA">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Times New Roman" w:hAnsi="Times New Roman" w:eastAsia="微软雅黑" w:cs="微软雅黑"/>
          <w:i w:val="0"/>
          <w:caps w:val="0"/>
          <w:color w:val="000000"/>
          <w:spacing w:val="0"/>
          <w:kern w:val="0"/>
          <w:sz w:val="28"/>
          <w:szCs w:val="28"/>
          <w:shd w:val="clear" w:color="auto" w:fill="FFFFFF"/>
          <w:lang w:val="en-US" w:eastAsia="zh-CN" w:bidi="ar"/>
        </w:rPr>
      </w:pPr>
      <w:r>
        <w:rPr>
          <w:rFonts w:hint="eastAsia" w:ascii="仿宋" w:hAnsi="仿宋" w:eastAsia="仿宋" w:cs="仿宋"/>
          <w:b w:val="0"/>
          <w:bCs w:val="0"/>
          <w:i w:val="0"/>
          <w:caps w:val="0"/>
          <w:color w:val="auto"/>
          <w:spacing w:val="0"/>
          <w:kern w:val="0"/>
          <w:sz w:val="32"/>
          <w:szCs w:val="32"/>
          <w:shd w:val="clear" w:color="auto" w:fill="FFFFFF"/>
          <w:lang w:val="en-US" w:eastAsia="zh-CN" w:bidi="ar"/>
        </w:rPr>
        <w:t>坚持把铸牢中华民族共同体意识工作主线贯彻到司法行政工作各方面全过程，纳入党的建设，纳入政治机关建设，持续加强对行政规范性文件的备案审核。</w:t>
      </w:r>
    </w:p>
    <w:p w14:paraId="208B5E9E">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
          <w:bCs/>
          <w:i w:val="0"/>
          <w:caps w:val="0"/>
          <w:color w:val="000000"/>
          <w:spacing w:val="0"/>
          <w:kern w:val="0"/>
          <w:sz w:val="32"/>
          <w:szCs w:val="32"/>
          <w:shd w:val="clear" w:color="auto" w:fill="FFFFFF"/>
          <w:lang w:val="en" w:eastAsia="zh-CN" w:bidi="ar"/>
        </w:rPr>
      </w:pPr>
      <w:r>
        <w:rPr>
          <w:rFonts w:hint="eastAsia" w:ascii="楷体" w:hAnsi="楷体" w:eastAsia="楷体" w:cs="楷体"/>
          <w:b w:val="0"/>
          <w:bCs w:val="0"/>
          <w:i w:val="0"/>
          <w:caps w:val="0"/>
          <w:color w:val="000000"/>
          <w:spacing w:val="0"/>
          <w:kern w:val="0"/>
          <w:sz w:val="32"/>
          <w:szCs w:val="32"/>
          <w:shd w:val="clear" w:color="auto" w:fill="FFFFFF"/>
          <w:lang w:val="en-US" w:eastAsia="zh-CN" w:bidi="ar"/>
        </w:rPr>
        <w:t>3.抓实抓好党建工作。</w:t>
      </w:r>
    </w:p>
    <w:p w14:paraId="74D9F967">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pPr>
      <w:r>
        <w:rPr>
          <w:rFonts w:hint="eastAsia" w:ascii="仿宋" w:hAnsi="仿宋" w:eastAsia="仿宋" w:cs="仿宋"/>
          <w:b w:val="0"/>
          <w:bCs w:val="0"/>
          <w:i w:val="0"/>
          <w:caps w:val="0"/>
          <w:color w:val="auto"/>
          <w:spacing w:val="0"/>
          <w:kern w:val="0"/>
          <w:sz w:val="32"/>
          <w:szCs w:val="32"/>
          <w:shd w:val="clear" w:color="auto" w:fill="FFFFFF"/>
          <w:lang w:val="en-US" w:eastAsia="zh-CN" w:bidi="ar"/>
        </w:rPr>
        <w:t>强化</w:t>
      </w:r>
      <w:r>
        <w:rPr>
          <w:rFonts w:hint="default" w:ascii="仿宋" w:hAnsi="仿宋" w:eastAsia="仿宋" w:cs="仿宋"/>
          <w:b w:val="0"/>
          <w:bCs w:val="0"/>
          <w:i w:val="0"/>
          <w:caps w:val="0"/>
          <w:color w:val="auto"/>
          <w:spacing w:val="0"/>
          <w:kern w:val="0"/>
          <w:sz w:val="32"/>
          <w:szCs w:val="32"/>
          <w:shd w:val="clear" w:color="auto" w:fill="FFFFFF"/>
          <w:lang w:val="en-US" w:eastAsia="zh-CN" w:bidi="ar"/>
        </w:rPr>
        <w:t>“司法红盾”党建品牌</w:t>
      </w:r>
      <w:r>
        <w:rPr>
          <w:rFonts w:hint="eastAsia" w:ascii="仿宋" w:hAnsi="仿宋" w:eastAsia="仿宋" w:cs="仿宋"/>
          <w:b w:val="0"/>
          <w:bCs w:val="0"/>
          <w:i w:val="0"/>
          <w:caps w:val="0"/>
          <w:color w:val="auto"/>
          <w:spacing w:val="0"/>
          <w:kern w:val="0"/>
          <w:sz w:val="32"/>
          <w:szCs w:val="32"/>
          <w:shd w:val="clear" w:color="auto" w:fill="FFFFFF"/>
          <w:lang w:val="en-US" w:eastAsia="zh-CN" w:bidi="ar"/>
        </w:rPr>
        <w:t>宣传</w:t>
      </w:r>
      <w:r>
        <w:rPr>
          <w:rFonts w:hint="default" w:ascii="仿宋" w:hAnsi="仿宋" w:eastAsia="仿宋" w:cs="仿宋"/>
          <w:b w:val="0"/>
          <w:bCs w:val="0"/>
          <w:i w:val="0"/>
          <w:caps w:val="0"/>
          <w:color w:val="auto"/>
          <w:spacing w:val="0"/>
          <w:kern w:val="0"/>
          <w:sz w:val="32"/>
          <w:szCs w:val="32"/>
          <w:shd w:val="clear" w:color="auto" w:fill="FFFFFF"/>
          <w:lang w:val="en-US" w:eastAsia="zh-CN" w:bidi="ar"/>
        </w:rPr>
        <w:t>，</w:t>
      </w:r>
      <w:r>
        <w:rPr>
          <w:rFonts w:hint="eastAsia" w:ascii="仿宋" w:hAnsi="仿宋" w:eastAsia="仿宋" w:cs="仿宋"/>
          <w:b w:val="0"/>
          <w:bCs w:val="0"/>
          <w:i w:val="0"/>
          <w:caps w:val="0"/>
          <w:color w:val="auto"/>
          <w:spacing w:val="0"/>
          <w:kern w:val="0"/>
          <w:sz w:val="32"/>
          <w:szCs w:val="32"/>
          <w:shd w:val="clear" w:color="auto" w:fill="FFFFFF"/>
          <w:lang w:val="en-US" w:eastAsia="zh-CN" w:bidi="ar"/>
        </w:rPr>
        <w:t>深化党建业务融合互促，</w:t>
      </w:r>
      <w:r>
        <w:rPr>
          <w:rFonts w:hint="default" w:ascii="仿宋" w:hAnsi="仿宋" w:eastAsia="仿宋" w:cs="仿宋"/>
          <w:b w:val="0"/>
          <w:bCs w:val="0"/>
          <w:i w:val="0"/>
          <w:caps w:val="0"/>
          <w:color w:val="auto"/>
          <w:spacing w:val="0"/>
          <w:kern w:val="0"/>
          <w:sz w:val="32"/>
          <w:szCs w:val="32"/>
          <w:shd w:val="clear" w:color="auto" w:fill="FFFFFF"/>
          <w:lang w:val="en-US" w:eastAsia="zh-CN" w:bidi="ar"/>
        </w:rPr>
        <w:t>设立“司法红盾”专栏，定期推送</w:t>
      </w:r>
      <w:r>
        <w:rPr>
          <w:rFonts w:hint="eastAsia" w:ascii="仿宋" w:hAnsi="仿宋" w:eastAsia="仿宋" w:cs="仿宋"/>
          <w:b w:val="0"/>
          <w:bCs w:val="0"/>
          <w:i w:val="0"/>
          <w:caps w:val="0"/>
          <w:color w:val="auto"/>
          <w:spacing w:val="0"/>
          <w:kern w:val="0"/>
          <w:sz w:val="32"/>
          <w:szCs w:val="32"/>
          <w:shd w:val="clear" w:color="auto" w:fill="FFFFFF"/>
          <w:lang w:val="en-US" w:eastAsia="zh-CN" w:bidi="ar"/>
        </w:rPr>
        <w:t>党建</w:t>
      </w:r>
      <w:r>
        <w:rPr>
          <w:rFonts w:hint="default" w:ascii="仿宋" w:hAnsi="仿宋" w:eastAsia="仿宋" w:cs="仿宋"/>
          <w:b w:val="0"/>
          <w:bCs w:val="0"/>
          <w:i w:val="0"/>
          <w:caps w:val="0"/>
          <w:color w:val="auto"/>
          <w:spacing w:val="0"/>
          <w:kern w:val="0"/>
          <w:sz w:val="32"/>
          <w:szCs w:val="32"/>
          <w:shd w:val="clear" w:color="auto" w:fill="FFFFFF"/>
          <w:lang w:val="en-US" w:eastAsia="zh-CN" w:bidi="ar"/>
        </w:rPr>
        <w:t>动态、党员风采</w:t>
      </w:r>
      <w:r>
        <w:rPr>
          <w:rFonts w:hint="eastAsia" w:ascii="仿宋" w:hAnsi="仿宋" w:eastAsia="仿宋" w:cs="仿宋"/>
          <w:b w:val="0"/>
          <w:bCs w:val="0"/>
          <w:i w:val="0"/>
          <w:caps w:val="0"/>
          <w:color w:val="auto"/>
          <w:spacing w:val="0"/>
          <w:kern w:val="0"/>
          <w:sz w:val="32"/>
          <w:szCs w:val="32"/>
          <w:shd w:val="clear" w:color="auto" w:fill="FFFFFF"/>
          <w:lang w:val="en-US" w:eastAsia="zh-CN" w:bidi="ar"/>
        </w:rPr>
        <w:t>、</w:t>
      </w:r>
      <w:r>
        <w:rPr>
          <w:rFonts w:hint="default" w:ascii="仿宋" w:hAnsi="仿宋" w:eastAsia="仿宋" w:cs="仿宋"/>
          <w:b w:val="0"/>
          <w:bCs w:val="0"/>
          <w:i w:val="0"/>
          <w:caps w:val="0"/>
          <w:color w:val="auto"/>
          <w:spacing w:val="0"/>
          <w:kern w:val="0"/>
          <w:sz w:val="32"/>
          <w:szCs w:val="32"/>
          <w:shd w:val="clear" w:color="auto" w:fill="FFFFFF"/>
          <w:lang w:val="en-US" w:eastAsia="zh-CN" w:bidi="ar"/>
        </w:rPr>
        <w:t>典型案例，增强品牌的社会美誉度与行业影响力，塑造司法行政新形象。</w:t>
      </w:r>
      <w:r>
        <w:rPr>
          <w:rFonts w:hint="eastAsia" w:ascii="仿宋" w:hAnsi="仿宋" w:eastAsia="仿宋" w:cs="仿宋"/>
          <w:b w:val="0"/>
          <w:bCs w:val="0"/>
          <w:i w:val="0"/>
          <w:caps w:val="0"/>
          <w:color w:val="auto"/>
          <w:spacing w:val="0"/>
          <w:kern w:val="0"/>
          <w:sz w:val="32"/>
          <w:szCs w:val="32"/>
          <w:shd w:val="clear" w:color="auto" w:fill="FFFFFF"/>
          <w:lang w:val="en-US" w:eastAsia="zh-CN" w:bidi="ar"/>
        </w:rPr>
        <w:t>加强法律服务队伍思想政治引领，发挥法律服务机构党组织在引领服务、规范管理中的作用，提高律师、公证、司法鉴定和仲裁等行业党建质效。</w:t>
      </w:r>
    </w:p>
    <w:p w14:paraId="1011480D">
      <w:pPr>
        <w:keepNext w:val="0"/>
        <w:keepLines w:val="0"/>
        <w:pageBreakBefore w:val="0"/>
        <w:widowControl w:val="0"/>
        <w:shd w:val="clear" w:color="auto" w:fill="auto"/>
        <w:kinsoku/>
        <w:wordWrap/>
        <w:overflowPunct w:val="0"/>
        <w:topLinePunct/>
        <w:autoSpaceDE/>
        <w:autoSpaceDN/>
        <w:bidi w:val="0"/>
        <w:adjustRightInd/>
        <w:snapToGrid/>
        <w:spacing w:line="560" w:lineRule="exact"/>
        <w:ind w:left="0" w:firstLine="636" w:firstLineChars="200"/>
        <w:jc w:val="both"/>
        <w:textAlignment w:val="auto"/>
        <w:rPr>
          <w:rFonts w:hint="eastAsia" w:ascii="黑体" w:hAnsi="黑体" w:eastAsia="黑体" w:cs="黑体"/>
          <w:color w:val="000000"/>
          <w:spacing w:val="-1"/>
          <w:sz w:val="32"/>
          <w:szCs w:val="32"/>
          <w:lang w:eastAsia="zh-CN"/>
        </w:rPr>
      </w:pPr>
      <w:r>
        <w:rPr>
          <w:rFonts w:hint="eastAsia" w:ascii="黑体" w:hAnsi="黑体" w:eastAsia="黑体" w:cs="黑体"/>
          <w:color w:val="000000"/>
          <w:spacing w:val="-1"/>
          <w:sz w:val="32"/>
          <w:szCs w:val="32"/>
          <w:lang w:eastAsia="zh-CN"/>
        </w:rPr>
        <w:t>二、</w:t>
      </w:r>
      <w:r>
        <w:rPr>
          <w:rFonts w:hint="eastAsia" w:ascii="黑体" w:hAnsi="黑体" w:eastAsia="黑体" w:cs="黑体"/>
          <w:color w:val="000000"/>
          <w:spacing w:val="-6"/>
          <w:sz w:val="32"/>
          <w:szCs w:val="32"/>
          <w:lang w:eastAsia="zh-CN"/>
        </w:rPr>
        <w:t>服务保障办好两件大事，持续深化法治建设</w:t>
      </w:r>
    </w:p>
    <w:p w14:paraId="7055E61D">
      <w:pPr>
        <w:pStyle w:val="2"/>
        <w:keepNext w:val="0"/>
        <w:keepLines w:val="0"/>
        <w:pageBreakBefore w:val="0"/>
        <w:widowControl w:val="0"/>
        <w:shd w:val="clear" w:color="auto" w:fill="auto"/>
        <w:kinsoku/>
        <w:wordWrap/>
        <w:overflowPunct w:val="0"/>
        <w:topLinePunct/>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bCs/>
          <w:i w:val="0"/>
          <w:caps w:val="0"/>
          <w:color w:val="000000"/>
          <w:spacing w:val="0"/>
          <w:kern w:val="0"/>
          <w:sz w:val="32"/>
          <w:szCs w:val="32"/>
          <w:shd w:val="clear" w:color="auto" w:fill="FFFFFF"/>
          <w:lang w:val="en-US" w:eastAsia="zh-CN" w:bidi="ar"/>
        </w:rPr>
      </w:pPr>
      <w:r>
        <w:rPr>
          <w:rFonts w:hint="eastAsia" w:ascii="楷体" w:hAnsi="楷体" w:eastAsia="楷体" w:cs="楷体"/>
          <w:b w:val="0"/>
          <w:bCs w:val="0"/>
          <w:i w:val="0"/>
          <w:caps w:val="0"/>
          <w:color w:val="000000"/>
          <w:spacing w:val="0"/>
          <w:kern w:val="0"/>
          <w:sz w:val="32"/>
          <w:szCs w:val="32"/>
          <w:shd w:val="clear" w:color="auto" w:fill="FFFFFF"/>
          <w:lang w:val="en-US" w:eastAsia="zh-CN" w:bidi="ar"/>
        </w:rPr>
        <w:t>4.推动学习</w:t>
      </w:r>
      <w:r>
        <w:rPr>
          <w:rFonts w:hint="eastAsia" w:cs="楷体"/>
          <w:b w:val="0"/>
          <w:bCs w:val="0"/>
          <w:i w:val="0"/>
          <w:caps w:val="0"/>
          <w:color w:val="000000"/>
          <w:spacing w:val="0"/>
          <w:kern w:val="0"/>
          <w:sz w:val="32"/>
          <w:szCs w:val="32"/>
          <w:shd w:val="clear" w:color="auto" w:fill="FFFFFF"/>
          <w:lang w:val="en-US" w:eastAsia="zh-CN" w:bidi="ar"/>
        </w:rPr>
        <w:t>贯彻</w:t>
      </w:r>
      <w:r>
        <w:rPr>
          <w:rFonts w:hint="eastAsia" w:ascii="楷体" w:hAnsi="楷体" w:eastAsia="楷体" w:cs="楷体"/>
          <w:b w:val="0"/>
          <w:bCs w:val="0"/>
          <w:i w:val="0"/>
          <w:caps w:val="0"/>
          <w:color w:val="000000"/>
          <w:spacing w:val="0"/>
          <w:kern w:val="0"/>
          <w:sz w:val="32"/>
          <w:szCs w:val="32"/>
          <w:shd w:val="clear" w:color="auto" w:fill="FFFFFF"/>
          <w:lang w:val="en-US" w:eastAsia="zh-CN" w:bidi="ar"/>
        </w:rPr>
        <w:t>习近平法治思想</w:t>
      </w:r>
      <w:r>
        <w:rPr>
          <w:rFonts w:hint="eastAsia" w:cs="楷体"/>
          <w:b w:val="0"/>
          <w:bCs w:val="0"/>
          <w:i w:val="0"/>
          <w:caps w:val="0"/>
          <w:color w:val="000000"/>
          <w:spacing w:val="0"/>
          <w:kern w:val="0"/>
          <w:sz w:val="32"/>
          <w:szCs w:val="32"/>
          <w:shd w:val="clear" w:color="auto" w:fill="FFFFFF"/>
          <w:lang w:val="en-US" w:eastAsia="zh-CN" w:bidi="ar"/>
        </w:rPr>
        <w:t>走深走实。</w:t>
      </w:r>
    </w:p>
    <w:p w14:paraId="2C1F389E">
      <w:pPr>
        <w:pStyle w:val="2"/>
        <w:keepNext w:val="0"/>
        <w:keepLines w:val="0"/>
        <w:pageBreakBefore w:val="0"/>
        <w:widowControl w:val="0"/>
        <w:shd w:val="clear" w:color="auto" w:fill="auto"/>
        <w:kinsoku/>
        <w:wordWrap/>
        <w:overflowPunct w:val="0"/>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i w:val="0"/>
          <w:caps w:val="0"/>
          <w:color w:val="000000"/>
          <w:spacing w:val="0"/>
          <w:kern w:val="0"/>
          <w:sz w:val="32"/>
          <w:szCs w:val="32"/>
          <w:shd w:val="clear" w:color="auto" w:fill="FFFFFF"/>
          <w:lang w:val="en-US" w:eastAsia="zh-CN" w:bidi="ar"/>
        </w:rPr>
      </w:pPr>
      <w:r>
        <w:rPr>
          <w:rFonts w:hint="eastAsia" w:ascii="仿宋" w:hAnsi="仿宋" w:eastAsia="仿宋" w:cs="仿宋"/>
          <w:sz w:val="32"/>
          <w:szCs w:val="32"/>
          <w:lang w:val="en-US" w:eastAsia="zh-CN"/>
        </w:rPr>
        <w:t>健全学习贯彻习近平法治思想常态化机制，将习近平法治思想及法律法规作为领导干部培训必修课，深化法治工作部门全战线全覆盖培训轮训，推动学习宣传、研究阐释、贯彻落实见行见效。加强与中国政法大学深度合作，形成更多高质量研究成果，服务法治建设决策参考。</w:t>
      </w:r>
    </w:p>
    <w:p w14:paraId="1E24721C">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楷体" w:hAnsi="楷体" w:eastAsia="楷体" w:cs="楷体"/>
          <w:b w:val="0"/>
          <w:bCs w:val="0"/>
          <w:i w:val="0"/>
          <w:caps w:val="0"/>
          <w:color w:val="000000"/>
          <w:spacing w:val="0"/>
          <w:kern w:val="0"/>
          <w:sz w:val="32"/>
          <w:szCs w:val="32"/>
          <w:shd w:val="clear" w:color="auto" w:fill="FFFFFF"/>
          <w:lang w:val="en-US" w:eastAsia="zh-CN" w:bidi="ar"/>
        </w:rPr>
      </w:pPr>
      <w:r>
        <w:rPr>
          <w:rFonts w:hint="eastAsia" w:ascii="楷体" w:hAnsi="楷体" w:eastAsia="楷体" w:cs="楷体"/>
          <w:b w:val="0"/>
          <w:bCs w:val="0"/>
          <w:i w:val="0"/>
          <w:caps w:val="0"/>
          <w:color w:val="000000"/>
          <w:spacing w:val="0"/>
          <w:kern w:val="0"/>
          <w:sz w:val="32"/>
          <w:szCs w:val="32"/>
          <w:shd w:val="clear" w:color="auto" w:fill="FFFFFF"/>
          <w:lang w:val="en-US" w:eastAsia="zh-CN" w:bidi="ar"/>
        </w:rPr>
        <w:t>5.接续落实诚信建设工程。</w:t>
      </w:r>
    </w:p>
    <w:p w14:paraId="1646A59A">
      <w:pPr>
        <w:keepNext w:val="0"/>
        <w:keepLines w:val="0"/>
        <w:pageBreakBefore w:val="0"/>
        <w:widowControl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pPr>
      <w:r>
        <w:rPr>
          <w:rFonts w:hint="eastAsia" w:ascii="仿宋" w:hAnsi="仿宋" w:eastAsia="仿宋" w:cs="仿宋"/>
          <w:b w:val="0"/>
          <w:bCs w:val="0"/>
          <w:sz w:val="32"/>
          <w:szCs w:val="32"/>
          <w:lang w:val="en-US" w:eastAsia="zh-CN"/>
        </w:rPr>
        <w:t>制定2025年诚信建设工程重点任务清单，制定涉企失信行为信用修复具体办法，持续排查整治政府失信行为，开展重点领域失信行为专项整治，依法依规加大清欠民营企业账款力度，实打实解决限制过多、办事繁琐、承诺不兑现、新官不理旧账等问题，提升诚信建设规范化、常态化、品牌化水平。建立行政诉讼败诉监督管理工作机制，有效降低行政诉讼败诉率，全力提升依法行政能力和政府公信力。</w:t>
      </w:r>
    </w:p>
    <w:p w14:paraId="550BE892">
      <w:pPr>
        <w:keepNext w:val="0"/>
        <w:keepLines w:val="0"/>
        <w:pageBreakBefore w:val="0"/>
        <w:widowControl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
          <w:bCs/>
          <w:i w:val="0"/>
          <w:caps w:val="0"/>
          <w:color w:val="000000"/>
          <w:spacing w:val="0"/>
          <w:kern w:val="0"/>
          <w:sz w:val="32"/>
          <w:szCs w:val="32"/>
          <w:shd w:val="clear" w:color="auto" w:fill="FFFFFF"/>
          <w:lang w:val="en-US" w:eastAsia="zh-CN" w:bidi="ar"/>
        </w:rPr>
      </w:pPr>
      <w:r>
        <w:rPr>
          <w:rFonts w:hint="eastAsia" w:ascii="楷体" w:hAnsi="楷体" w:eastAsia="楷体" w:cs="楷体"/>
          <w:b w:val="0"/>
          <w:bCs w:val="0"/>
          <w:i w:val="0"/>
          <w:caps w:val="0"/>
          <w:color w:val="000000"/>
          <w:spacing w:val="0"/>
          <w:kern w:val="0"/>
          <w:sz w:val="32"/>
          <w:szCs w:val="32"/>
          <w:shd w:val="clear" w:color="auto" w:fill="FFFFFF"/>
          <w:lang w:val="en-US" w:eastAsia="zh-CN" w:bidi="ar"/>
        </w:rPr>
        <w:t>6.服务保障“六个行动”。</w:t>
      </w:r>
    </w:p>
    <w:p w14:paraId="37DB7F69">
      <w:pPr>
        <w:keepNext w:val="0"/>
        <w:keepLines w:val="0"/>
        <w:pageBreakBefore w:val="0"/>
        <w:widowControl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Times New Roman" w:hAnsi="Times New Roman" w:eastAsia="黑体" w:cs="黑体"/>
          <w:color w:val="000000"/>
          <w:spacing w:val="-1"/>
          <w:kern w:val="2"/>
          <w:sz w:val="32"/>
          <w:szCs w:val="32"/>
          <w:lang w:val="en-US" w:eastAsia="zh-CN" w:bidi="ar-SA"/>
        </w:rPr>
      </w:pPr>
      <w:r>
        <w:rPr>
          <w:rFonts w:hint="eastAsia" w:ascii="仿宋" w:hAnsi="仿宋" w:eastAsia="仿宋" w:cs="仿宋"/>
          <w:b w:val="0"/>
          <w:bCs w:val="0"/>
          <w:sz w:val="32"/>
          <w:szCs w:val="32"/>
          <w:lang w:val="en-US" w:eastAsia="zh-CN"/>
        </w:rPr>
        <w:t>制定司法行政服务和落实“六个行动”的具体措施，从依法行政、行政执法监督、法律服务、法治化营商环境方面，切实找准切入点和着力点，形成硬实举措。探索开展助企帮扶行动，选取1-2家民营企业，开展法律帮扶。</w:t>
      </w:r>
    </w:p>
    <w:p w14:paraId="0BC665BE">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
          <w:bCs/>
          <w:i w:val="0"/>
          <w:caps w:val="0"/>
          <w:color w:val="000000"/>
          <w:spacing w:val="0"/>
          <w:kern w:val="0"/>
          <w:sz w:val="32"/>
          <w:szCs w:val="32"/>
          <w:shd w:val="clear" w:color="auto" w:fill="FFFFFF"/>
          <w:lang w:val="en-US" w:eastAsia="zh-CN" w:bidi="ar"/>
        </w:rPr>
      </w:pPr>
      <w:r>
        <w:rPr>
          <w:rFonts w:hint="eastAsia" w:ascii="楷体" w:hAnsi="楷体" w:eastAsia="楷体" w:cs="楷体"/>
          <w:b w:val="0"/>
          <w:bCs w:val="0"/>
          <w:i w:val="0"/>
          <w:caps w:val="0"/>
          <w:color w:val="000000"/>
          <w:spacing w:val="0"/>
          <w:kern w:val="0"/>
          <w:sz w:val="32"/>
          <w:szCs w:val="32"/>
          <w:shd w:val="clear" w:color="auto" w:fill="FFFFFF"/>
          <w:lang w:val="en-US" w:eastAsia="zh-CN" w:bidi="ar"/>
        </w:rPr>
        <w:t>7.切实提升法治督察质效。</w:t>
      </w:r>
    </w:p>
    <w:p w14:paraId="1EE4C826">
      <w:pPr>
        <w:pStyle w:val="2"/>
        <w:keepNext w:val="0"/>
        <w:keepLines w:val="0"/>
        <w:pageBreakBefore w:val="0"/>
        <w:widowControl w:val="0"/>
        <w:shd w:val="clear" w:color="auto" w:fill="auto"/>
        <w:kinsoku/>
        <w:wordWrap/>
        <w:overflowPunct w:val="0"/>
        <w:topLinePunct/>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pPr>
      <w:r>
        <w:rPr>
          <w:rFonts w:hint="eastAsia" w:ascii="仿宋" w:hAnsi="仿宋" w:eastAsia="仿宋" w:cs="仿宋"/>
          <w:b w:val="0"/>
          <w:bCs w:val="0"/>
          <w:sz w:val="32"/>
          <w:szCs w:val="32"/>
          <w:lang w:val="en-US" w:eastAsia="zh-CN"/>
        </w:rPr>
        <w:t>开展法治建设“一规划两纲要”及乌海市方案举措落实总结评估，梳理对照指标任务，全面完成“一规划两纲要”各项工作。优化全面依法治市考核指标，聚焦“六个行动”、优化法治化营商环境等重点工作开展法治督察。推动行政机关负责人出庭应诉率保持100%目标,督促行政机关负责人“出庭出声”。完善党政主要负责人履行推进法治建设第一责任人职责述法工作机制，加大现场述法推进力度，实现述法常态化。深入学习贯彻全面依法</w:t>
      </w:r>
      <w:r>
        <w:rPr>
          <w:rFonts w:hint="eastAsia" w:ascii="仿宋" w:hAnsi="仿宋" w:eastAsia="仿宋" w:cs="仿宋"/>
          <w:b w:val="0"/>
          <w:bCs w:val="0"/>
          <w:spacing w:val="-6"/>
          <w:sz w:val="32"/>
          <w:szCs w:val="32"/>
          <w:lang w:val="en-US" w:eastAsia="zh-CN"/>
        </w:rPr>
        <w:t>治国工作会议精神，逐项梳理任务、细化工作举措，抓好落地落实。</w:t>
      </w:r>
    </w:p>
    <w:p w14:paraId="4F896CA0">
      <w:pPr>
        <w:pStyle w:val="2"/>
        <w:keepNext w:val="0"/>
        <w:keepLines w:val="0"/>
        <w:pageBreakBefore w:val="0"/>
        <w:widowControl w:val="0"/>
        <w:shd w:val="clear" w:color="auto" w:fill="auto"/>
        <w:kinsoku/>
        <w:wordWrap/>
        <w:overflowPunct w:val="0"/>
        <w:topLinePunct/>
        <w:autoSpaceDE/>
        <w:autoSpaceDN/>
        <w:bidi w:val="0"/>
        <w:adjustRightInd/>
        <w:snapToGrid/>
        <w:spacing w:line="560" w:lineRule="exact"/>
        <w:ind w:left="0" w:leftChars="0" w:firstLine="636" w:firstLineChars="200"/>
        <w:jc w:val="both"/>
        <w:textAlignment w:val="auto"/>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pPr>
      <w:r>
        <w:rPr>
          <w:rFonts w:hint="eastAsia" w:ascii="黑体" w:hAnsi="黑体" w:eastAsia="黑体" w:cs="黑体"/>
          <w:color w:val="000000"/>
          <w:spacing w:val="-1"/>
          <w:kern w:val="2"/>
          <w:sz w:val="32"/>
          <w:szCs w:val="32"/>
          <w:lang w:val="en-US" w:eastAsia="zh-CN" w:bidi="ar-SA"/>
        </w:rPr>
        <w:t>三、提高依法行政水平，持续优化法治化营商环境</w:t>
      </w:r>
    </w:p>
    <w:p w14:paraId="1F386337">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
          <w:bCs/>
          <w:i w:val="0"/>
          <w:caps w:val="0"/>
          <w:color w:val="000000"/>
          <w:spacing w:val="0"/>
          <w:kern w:val="0"/>
          <w:sz w:val="32"/>
          <w:szCs w:val="32"/>
          <w:shd w:val="clear" w:color="auto" w:fill="FFFFFF"/>
          <w:lang w:val="en-US" w:eastAsia="zh-CN" w:bidi="ar"/>
        </w:rPr>
      </w:pPr>
      <w:r>
        <w:rPr>
          <w:rFonts w:hint="eastAsia" w:ascii="楷体" w:hAnsi="楷体" w:eastAsia="楷体" w:cs="楷体"/>
          <w:b w:val="0"/>
          <w:bCs w:val="0"/>
          <w:i w:val="0"/>
          <w:caps w:val="0"/>
          <w:color w:val="000000"/>
          <w:spacing w:val="0"/>
          <w:kern w:val="0"/>
          <w:sz w:val="32"/>
          <w:szCs w:val="32"/>
          <w:shd w:val="clear" w:color="auto" w:fill="FFFFFF"/>
          <w:lang w:val="en-US" w:eastAsia="zh-CN" w:bidi="ar"/>
        </w:rPr>
        <w:t>8.加强行政立法制规。</w:t>
      </w:r>
    </w:p>
    <w:p w14:paraId="5B839CB0">
      <w:pPr>
        <w:pStyle w:val="2"/>
        <w:keepNext w:val="0"/>
        <w:keepLines w:val="0"/>
        <w:pageBreakBefore w:val="0"/>
        <w:widowControl w:val="0"/>
        <w:shd w:val="clear" w:color="auto" w:fill="auto"/>
        <w:kinsoku/>
        <w:wordWrap/>
        <w:overflowPunct w:val="0"/>
        <w:topLinePunct/>
        <w:autoSpaceDE/>
        <w:autoSpaceDN/>
        <w:bidi w:val="0"/>
        <w:adjustRightInd/>
        <w:snapToGrid/>
        <w:spacing w:line="560" w:lineRule="exact"/>
        <w:ind w:left="0" w:firstLine="636" w:firstLineChars="200"/>
        <w:jc w:val="both"/>
        <w:textAlignment w:val="auto"/>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pPr>
      <w:r>
        <w:rPr>
          <w:rFonts w:hint="eastAsia" w:ascii="仿宋" w:hAnsi="仿宋" w:eastAsia="仿宋" w:cs="仿宋"/>
          <w:color w:val="auto"/>
          <w:spacing w:val="-1"/>
          <w:kern w:val="2"/>
          <w:sz w:val="32"/>
          <w:szCs w:val="32"/>
          <w:lang w:val="en-US" w:eastAsia="zh-CN" w:bidi="ar-SA"/>
        </w:rPr>
        <w:t>推动出台《乌海市河道保护和管理条例》，推动《乌海市气候资源保护和开发利用办法》列入政府规章立项计划。</w:t>
      </w:r>
    </w:p>
    <w:p w14:paraId="39C2DC08">
      <w:pPr>
        <w:keepNext w:val="0"/>
        <w:keepLines w:val="0"/>
        <w:pageBreakBefore w:val="0"/>
        <w:widowControl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
          <w:bCs/>
          <w:i w:val="0"/>
          <w:caps w:val="0"/>
          <w:color w:val="000000"/>
          <w:spacing w:val="0"/>
          <w:kern w:val="0"/>
          <w:sz w:val="32"/>
          <w:szCs w:val="32"/>
          <w:shd w:val="clear" w:color="auto" w:fill="FFFFFF"/>
          <w:lang w:val="en-US" w:eastAsia="zh-CN" w:bidi="ar"/>
        </w:rPr>
      </w:pPr>
      <w:r>
        <w:rPr>
          <w:rFonts w:hint="eastAsia" w:ascii="楷体" w:hAnsi="楷体" w:eastAsia="楷体" w:cs="楷体"/>
          <w:b w:val="0"/>
          <w:bCs w:val="0"/>
          <w:i w:val="0"/>
          <w:caps w:val="0"/>
          <w:color w:val="000000"/>
          <w:spacing w:val="0"/>
          <w:kern w:val="0"/>
          <w:sz w:val="32"/>
          <w:szCs w:val="32"/>
          <w:shd w:val="clear" w:color="auto" w:fill="FFFFFF"/>
          <w:lang w:val="en-US" w:eastAsia="zh-CN" w:bidi="ar"/>
        </w:rPr>
        <w:t>9.提高行政决策法治化水平。</w:t>
      </w:r>
    </w:p>
    <w:p w14:paraId="0D8B4A13">
      <w:pPr>
        <w:keepNext w:val="0"/>
        <w:keepLines w:val="0"/>
        <w:pageBreakBefore w:val="0"/>
        <w:widowControl w:val="0"/>
        <w:shd w:val="clear" w:color="auto" w:fill="auto"/>
        <w:kinsoku/>
        <w:wordWrap/>
        <w:overflowPunct w:val="0"/>
        <w:topLinePunct/>
        <w:autoSpaceDE/>
        <w:autoSpaceDN/>
        <w:bidi w:val="0"/>
        <w:adjustRightInd/>
        <w:snapToGrid/>
        <w:spacing w:line="560" w:lineRule="exact"/>
        <w:ind w:firstLine="636" w:firstLineChars="200"/>
        <w:jc w:val="both"/>
        <w:textAlignment w:val="auto"/>
        <w:rPr>
          <w:rFonts w:hint="default" w:ascii="Times New Roman" w:hAnsi="Times New Roman" w:eastAsia="仿宋_GB2312" w:cs="仿宋_GB2312"/>
          <w:i w:val="0"/>
          <w:caps w:val="0"/>
          <w:color w:val="FF0000"/>
          <w:spacing w:val="0"/>
          <w:kern w:val="0"/>
          <w:sz w:val="32"/>
          <w:szCs w:val="32"/>
          <w:shd w:val="clear" w:color="auto" w:fill="FFFFFF"/>
          <w:lang w:val="en-US" w:eastAsia="zh-CN" w:bidi="ar"/>
        </w:rPr>
      </w:pPr>
      <w:r>
        <w:rPr>
          <w:rFonts w:hint="eastAsia" w:ascii="仿宋" w:hAnsi="仿宋" w:eastAsia="仿宋" w:cs="仿宋"/>
          <w:color w:val="auto"/>
          <w:spacing w:val="-1"/>
          <w:kern w:val="2"/>
          <w:sz w:val="32"/>
          <w:szCs w:val="32"/>
          <w:lang w:val="en-US" w:eastAsia="zh-CN" w:bidi="ar-SA"/>
        </w:rPr>
        <w:t>完善规范性文件合法性审核机制，加强和规范党政机关法律顾问、公职律师工作，完善法律顾问履职考核制度，实现党政机关法律顾问全覆盖，进一步提高依法决策效能。落实行政败诉案件“一案一分析”机制，规范行政行为，减少因主观因素造成的行政败诉率。</w:t>
      </w:r>
      <w:r>
        <w:rPr>
          <w:rFonts w:hint="eastAsia" w:ascii="仿宋" w:hAnsi="仿宋" w:eastAsia="仿宋" w:cs="仿宋"/>
          <w:b w:val="0"/>
          <w:bCs w:val="0"/>
          <w:color w:val="auto"/>
          <w:spacing w:val="-1"/>
          <w:kern w:val="2"/>
          <w:sz w:val="32"/>
          <w:szCs w:val="32"/>
          <w:lang w:val="en-US" w:eastAsia="zh-CN" w:bidi="ar-SA"/>
        </w:rPr>
        <w:t>不断完善政府合同备案管理，加强政府合同清理和质量检查工作，进一步提升政府合同质量水平。</w:t>
      </w:r>
    </w:p>
    <w:p w14:paraId="4225933A">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
          <w:bCs/>
          <w:color w:val="000000"/>
          <w:spacing w:val="-1"/>
          <w:kern w:val="2"/>
          <w:sz w:val="32"/>
          <w:szCs w:val="32"/>
          <w:lang w:val="en-US" w:eastAsia="zh-CN" w:bidi="ar-SA"/>
        </w:rPr>
      </w:pPr>
      <w:r>
        <w:rPr>
          <w:rFonts w:hint="eastAsia" w:ascii="楷体" w:hAnsi="楷体" w:eastAsia="楷体" w:cs="楷体"/>
          <w:b w:val="0"/>
          <w:bCs w:val="0"/>
          <w:i w:val="0"/>
          <w:caps w:val="0"/>
          <w:color w:val="000000"/>
          <w:spacing w:val="0"/>
          <w:kern w:val="0"/>
          <w:sz w:val="32"/>
          <w:szCs w:val="32"/>
          <w:shd w:val="clear" w:color="auto" w:fill="FFFFFF"/>
          <w:lang w:val="en-US" w:eastAsia="zh-CN" w:bidi="ar"/>
        </w:rPr>
        <w:t>10.深化执法规范化建设。</w:t>
      </w:r>
    </w:p>
    <w:p w14:paraId="262867F3">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36" w:firstLineChars="200"/>
        <w:jc w:val="both"/>
        <w:textAlignment w:val="auto"/>
        <w:rPr>
          <w:rFonts w:hint="eastAsia" w:ascii="Times New Roman" w:hAnsi="Times New Roman" w:eastAsia="仿宋_GB2312" w:cs="仿宋_GB2312"/>
          <w:color w:val="000000"/>
          <w:spacing w:val="-1"/>
          <w:kern w:val="2"/>
          <w:sz w:val="32"/>
          <w:szCs w:val="32"/>
          <w:lang w:val="en-US" w:eastAsia="zh-CN" w:bidi="ar-SA"/>
        </w:rPr>
      </w:pPr>
      <w:r>
        <w:rPr>
          <w:rFonts w:hint="eastAsia" w:ascii="仿宋" w:hAnsi="仿宋" w:eastAsia="仿宋" w:cs="仿宋"/>
          <w:b w:val="0"/>
          <w:bCs w:val="0"/>
          <w:color w:val="auto"/>
          <w:spacing w:val="-1"/>
          <w:kern w:val="2"/>
          <w:sz w:val="32"/>
          <w:szCs w:val="32"/>
          <w:lang w:val="en-US" w:eastAsia="zh-CN" w:bidi="ar-SA"/>
        </w:rPr>
        <w:t>开展规范涉企执法专项行动，落实“综合查一次”联合执法机制，集中整治乱收费、乱罚款、乱检查、乱查封等问题。深化三级行政执法监督体系建设，依法制定和管理行政裁量权基准，建立常态化监督和专项重点监督相结合的模式，进一步完善基层行政执法监督体制机制。用好自治区行政执法监督一体化平台，通过公开约谈、直接督办、通报曝光和案件移送等方式，提升行政执法监督质效。深化与公检法的协作配合，用好常态化会商机制，实现优势互补、效能叠加。</w:t>
      </w:r>
    </w:p>
    <w:p w14:paraId="0672DBD0">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
          <w:bCs/>
          <w:color w:val="000000"/>
          <w:spacing w:val="-1"/>
          <w:kern w:val="2"/>
          <w:sz w:val="32"/>
          <w:szCs w:val="32"/>
          <w:lang w:val="en-US" w:eastAsia="zh-CN" w:bidi="ar-SA"/>
        </w:rPr>
      </w:pPr>
      <w:r>
        <w:rPr>
          <w:rFonts w:hint="eastAsia" w:ascii="楷体" w:hAnsi="楷体" w:eastAsia="楷体" w:cs="楷体"/>
          <w:b w:val="0"/>
          <w:bCs w:val="0"/>
          <w:i w:val="0"/>
          <w:caps w:val="0"/>
          <w:color w:val="000000"/>
          <w:spacing w:val="0"/>
          <w:kern w:val="0"/>
          <w:sz w:val="32"/>
          <w:szCs w:val="32"/>
          <w:shd w:val="clear" w:color="auto" w:fill="FFFFFF"/>
          <w:lang w:val="en-US" w:eastAsia="zh-CN" w:bidi="ar"/>
        </w:rPr>
        <w:t>11.提升行政复议制度效能。</w:t>
      </w:r>
    </w:p>
    <w:p w14:paraId="7D62798A">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36" w:firstLineChars="200"/>
        <w:jc w:val="both"/>
        <w:textAlignment w:val="auto"/>
        <w:rPr>
          <w:rFonts w:hint="eastAsia" w:ascii="Times New Roman" w:hAnsi="Times New Roman" w:eastAsia="仿宋_GB2312" w:cs="仿宋_GB2312"/>
          <w:color w:val="000000"/>
          <w:spacing w:val="-1"/>
          <w:kern w:val="2"/>
          <w:sz w:val="32"/>
          <w:szCs w:val="32"/>
          <w:lang w:val="en-US" w:eastAsia="zh-CN" w:bidi="ar-SA"/>
        </w:rPr>
      </w:pPr>
      <w:r>
        <w:rPr>
          <w:rFonts w:hint="eastAsia" w:ascii="仿宋" w:hAnsi="仿宋" w:eastAsia="仿宋" w:cs="仿宋"/>
          <w:b w:val="0"/>
          <w:bCs w:val="0"/>
          <w:color w:val="auto"/>
          <w:spacing w:val="-1"/>
          <w:kern w:val="2"/>
          <w:sz w:val="32"/>
          <w:szCs w:val="32"/>
          <w:lang w:val="en-US" w:eastAsia="zh-CN" w:bidi="ar-SA"/>
        </w:rPr>
        <w:t>推进行政复议队伍专业化、规范化建设，完善行政复议案件审理、调解和解、决定抄告及履行等工作机制，发挥行政复议层级监督功能，加大个案监督力度，针对工作不力、问题较多的部门开展专项问题反馈、监督指导，促进严格规范公正文明执法，进一步提升行政复议首选率和公信力，更好发挥主渠道作用。强化行政复议与行政诉讼、信访有效衔接，促进裁判标准、法律适用统一。</w:t>
      </w:r>
    </w:p>
    <w:p w14:paraId="79FF174C">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36" w:firstLineChars="200"/>
        <w:jc w:val="both"/>
        <w:textAlignment w:val="auto"/>
        <w:rPr>
          <w:rFonts w:hint="eastAsia" w:ascii="黑体" w:hAnsi="黑体" w:eastAsia="黑体" w:cs="黑体"/>
          <w:color w:val="000000"/>
          <w:spacing w:val="-1"/>
          <w:kern w:val="2"/>
          <w:sz w:val="32"/>
          <w:szCs w:val="32"/>
          <w:lang w:val="en-US" w:eastAsia="zh-CN" w:bidi="ar-SA"/>
        </w:rPr>
      </w:pPr>
      <w:r>
        <w:rPr>
          <w:rFonts w:hint="eastAsia" w:ascii="黑体" w:hAnsi="黑体" w:eastAsia="黑体" w:cs="黑体"/>
          <w:color w:val="000000"/>
          <w:spacing w:val="-1"/>
          <w:kern w:val="2"/>
          <w:sz w:val="32"/>
          <w:szCs w:val="32"/>
          <w:lang w:val="en-US" w:eastAsia="zh-CN" w:bidi="ar-SA"/>
        </w:rPr>
        <w:t>四、健全现代公共法律服务体系，提升公共法律服务质量和公信力</w:t>
      </w:r>
    </w:p>
    <w:p w14:paraId="36C8C851">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
          <w:bCs/>
          <w:color w:val="000000"/>
          <w:spacing w:val="-1"/>
          <w:kern w:val="2"/>
          <w:sz w:val="32"/>
          <w:szCs w:val="32"/>
          <w:lang w:val="en-US" w:eastAsia="zh-CN" w:bidi="ar-SA"/>
        </w:rPr>
      </w:pPr>
      <w:r>
        <w:rPr>
          <w:rFonts w:hint="eastAsia" w:ascii="楷体" w:hAnsi="楷体" w:eastAsia="楷体" w:cs="楷体"/>
          <w:b w:val="0"/>
          <w:bCs w:val="0"/>
          <w:i w:val="0"/>
          <w:caps w:val="0"/>
          <w:color w:val="000000"/>
          <w:spacing w:val="0"/>
          <w:kern w:val="0"/>
          <w:sz w:val="32"/>
          <w:szCs w:val="32"/>
          <w:shd w:val="clear" w:color="auto" w:fill="FFFFFF"/>
          <w:lang w:val="en-US" w:eastAsia="zh-CN" w:bidi="ar"/>
        </w:rPr>
        <w:t>12.强化公共法律服务供给。</w:t>
      </w:r>
    </w:p>
    <w:p w14:paraId="2DE383E3">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color w:val="000000"/>
          <w:spacing w:val="-1"/>
          <w:kern w:val="2"/>
          <w:sz w:val="32"/>
          <w:szCs w:val="32"/>
          <w:lang w:val="en-US" w:eastAsia="zh-CN" w:bidi="ar-SA"/>
        </w:rPr>
      </w:pPr>
      <w:r>
        <w:rPr>
          <w:rFonts w:hint="eastAsia" w:ascii="仿宋" w:hAnsi="仿宋" w:eastAsia="仿宋" w:cs="仿宋"/>
          <w:sz w:val="32"/>
          <w:szCs w:val="32"/>
          <w:lang w:eastAsia="zh-CN"/>
        </w:rPr>
        <w:t>进一步优化</w:t>
      </w:r>
      <w:r>
        <w:rPr>
          <w:rFonts w:hint="eastAsia" w:ascii="仿宋" w:hAnsi="仿宋" w:eastAsia="仿宋" w:cs="仿宋"/>
          <w:sz w:val="32"/>
          <w:szCs w:val="32"/>
          <w:lang w:val="en-US" w:eastAsia="zh-CN"/>
        </w:rPr>
        <w:t>“乌海市司法局普法地图”、“乌海市一刻钟公共法律服务圈”服务平台功能设置，加强宣传推广，提升交互体验。</w:t>
      </w:r>
      <w:r>
        <w:rPr>
          <w:rFonts w:hint="eastAsia" w:ascii="仿宋" w:hAnsi="仿宋" w:eastAsia="仿宋" w:cs="仿宋"/>
          <w:sz w:val="32"/>
          <w:szCs w:val="32"/>
        </w:rPr>
        <w:t>加强律师执业权利保障和监督管理，</w:t>
      </w:r>
      <w:r>
        <w:rPr>
          <w:rFonts w:hint="eastAsia" w:ascii="仿宋" w:hAnsi="仿宋" w:eastAsia="仿宋" w:cs="仿宋"/>
          <w:sz w:val="32"/>
          <w:szCs w:val="32"/>
          <w:lang w:eastAsia="zh-CN"/>
        </w:rPr>
        <w:t>落实</w:t>
      </w:r>
      <w:r>
        <w:rPr>
          <w:rFonts w:hint="eastAsia" w:ascii="仿宋" w:hAnsi="仿宋" w:eastAsia="仿宋" w:cs="仿宋"/>
          <w:sz w:val="32"/>
          <w:szCs w:val="32"/>
        </w:rPr>
        <w:t>律师参与公益法律服务备案制度</w:t>
      </w:r>
      <w:r>
        <w:rPr>
          <w:rFonts w:hint="eastAsia" w:ascii="仿宋" w:hAnsi="仿宋" w:eastAsia="仿宋" w:cs="仿宋"/>
          <w:sz w:val="32"/>
          <w:szCs w:val="32"/>
          <w:lang w:eastAsia="zh-CN"/>
        </w:rPr>
        <w:t>，</w:t>
      </w:r>
      <w:r>
        <w:rPr>
          <w:rFonts w:hint="eastAsia" w:ascii="仿宋" w:hAnsi="仿宋" w:eastAsia="仿宋" w:cs="仿宋"/>
          <w:sz w:val="32"/>
          <w:szCs w:val="32"/>
        </w:rPr>
        <w:t>持续</w:t>
      </w:r>
      <w:r>
        <w:rPr>
          <w:rFonts w:hint="eastAsia" w:ascii="仿宋" w:hAnsi="仿宋" w:eastAsia="仿宋" w:cs="仿宋"/>
          <w:sz w:val="32"/>
          <w:szCs w:val="32"/>
          <w:lang w:eastAsia="zh-CN"/>
        </w:rPr>
        <w:t>推进</w:t>
      </w:r>
      <w:r>
        <w:rPr>
          <w:rFonts w:hint="eastAsia" w:ascii="仿宋" w:hAnsi="仿宋" w:eastAsia="仿宋" w:cs="仿宋"/>
          <w:sz w:val="32"/>
          <w:szCs w:val="32"/>
        </w:rPr>
        <w:t>“万名律师进乡村”“万所联万会”活动，开展民营企业“法治体检”，打造一批精品律所。</w:t>
      </w:r>
      <w:r>
        <w:rPr>
          <w:rFonts w:hint="eastAsia" w:ascii="仿宋" w:hAnsi="仿宋" w:eastAsia="仿宋" w:cs="仿宋"/>
          <w:sz w:val="32"/>
          <w:szCs w:val="32"/>
          <w:lang w:val="en-US" w:eastAsia="zh-CN"/>
        </w:rPr>
        <w:t>完善智诚公证处聘用人员薪资设置，</w:t>
      </w:r>
      <w:r>
        <w:rPr>
          <w:rFonts w:hint="eastAsia" w:ascii="仿宋" w:hAnsi="仿宋" w:eastAsia="仿宋" w:cs="仿宋"/>
          <w:sz w:val="32"/>
          <w:szCs w:val="32"/>
        </w:rPr>
        <w:t>开展“公证规范优质”行动，持续在“减、快、好”上下功夫，实现公证服务质量更好、服务更优、群众满意度更高。严把司法鉴定机构和司法鉴定人准入关口</w:t>
      </w:r>
      <w:r>
        <w:rPr>
          <w:rFonts w:hint="eastAsia" w:ascii="仿宋" w:hAnsi="仿宋" w:eastAsia="仿宋" w:cs="仿宋"/>
          <w:sz w:val="32"/>
          <w:szCs w:val="32"/>
          <w:lang w:eastAsia="zh-CN"/>
        </w:rPr>
        <w:t>，提升司法鉴定服务满意度。</w:t>
      </w:r>
      <w:r>
        <w:rPr>
          <w:rFonts w:hint="eastAsia" w:ascii="仿宋" w:hAnsi="仿宋" w:eastAsia="仿宋" w:cs="仿宋"/>
          <w:sz w:val="32"/>
          <w:szCs w:val="32"/>
        </w:rPr>
        <w:t>贯彻实施新修订的仲裁法，加强仲裁行业监督管理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抓实乌海仲裁委员会“调解中心”建设。开展法律援助“安心行动”，推动新就业群体法律援助工作，加强农民工法律援助站点建设，</w:t>
      </w:r>
      <w:r>
        <w:rPr>
          <w:rFonts w:hint="eastAsia" w:ascii="仿宋" w:hAnsi="仿宋" w:eastAsia="仿宋" w:cs="仿宋"/>
          <w:sz w:val="32"/>
          <w:szCs w:val="32"/>
        </w:rPr>
        <w:t>实现法律援助扩面提质。周密组织实施国家统一法律职业资格考试</w:t>
      </w:r>
      <w:r>
        <w:rPr>
          <w:rFonts w:hint="eastAsia" w:ascii="仿宋" w:hAnsi="仿宋" w:eastAsia="仿宋" w:cs="仿宋"/>
          <w:sz w:val="32"/>
          <w:szCs w:val="32"/>
          <w:lang w:eastAsia="zh-CN"/>
        </w:rPr>
        <w:t>，确保实现“零”差错目标</w:t>
      </w:r>
      <w:r>
        <w:rPr>
          <w:rFonts w:hint="eastAsia" w:ascii="仿宋" w:hAnsi="仿宋" w:eastAsia="仿宋" w:cs="仿宋"/>
          <w:sz w:val="32"/>
          <w:szCs w:val="32"/>
        </w:rPr>
        <w:t>。建立公共法律服务行业投诉举报处理工作机制和协会风险警示制度，深化扰乱法律服务市场秩序整治工作，切实把执业监管、质量管控落到实处。</w:t>
      </w:r>
    </w:p>
    <w:p w14:paraId="50B445F8">
      <w:pPr>
        <w:pStyle w:val="2"/>
        <w:keepNext w:val="0"/>
        <w:keepLines w:val="0"/>
        <w:pageBreakBefore w:val="0"/>
        <w:widowControl w:val="0"/>
        <w:shd w:val="clear" w:color="auto" w:fill="auto"/>
        <w:kinsoku/>
        <w:wordWrap/>
        <w:overflowPunct w:val="0"/>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bCs/>
          <w:color w:val="000000"/>
          <w:spacing w:val="-1"/>
          <w:kern w:val="2"/>
          <w:sz w:val="32"/>
          <w:szCs w:val="32"/>
          <w:lang w:val="en-US" w:eastAsia="zh-CN" w:bidi="ar-SA"/>
        </w:rPr>
      </w:pPr>
      <w:r>
        <w:rPr>
          <w:rFonts w:hint="eastAsia" w:ascii="楷体" w:hAnsi="楷体" w:eastAsia="楷体" w:cs="楷体"/>
          <w:b w:val="0"/>
          <w:bCs w:val="0"/>
          <w:i w:val="0"/>
          <w:caps w:val="0"/>
          <w:color w:val="000000"/>
          <w:spacing w:val="0"/>
          <w:kern w:val="0"/>
          <w:sz w:val="32"/>
          <w:szCs w:val="32"/>
          <w:shd w:val="clear" w:color="auto" w:fill="FFFFFF"/>
          <w:lang w:val="en-US" w:eastAsia="zh-CN" w:bidi="ar"/>
        </w:rPr>
        <w:t>13.</w:t>
      </w:r>
      <w:r>
        <w:rPr>
          <w:rFonts w:hint="eastAsia" w:cs="楷体"/>
          <w:b w:val="0"/>
          <w:bCs w:val="0"/>
          <w:i w:val="0"/>
          <w:caps w:val="0"/>
          <w:color w:val="000000"/>
          <w:spacing w:val="0"/>
          <w:kern w:val="0"/>
          <w:sz w:val="32"/>
          <w:szCs w:val="32"/>
          <w:shd w:val="clear" w:color="auto" w:fill="FFFFFF"/>
          <w:lang w:val="en-US" w:eastAsia="zh-CN" w:bidi="ar"/>
        </w:rPr>
        <w:t>改进法治宣传教育。</w:t>
      </w:r>
    </w:p>
    <w:p w14:paraId="7EDBC982">
      <w:pPr>
        <w:pStyle w:val="2"/>
        <w:keepNext w:val="0"/>
        <w:keepLines w:val="0"/>
        <w:pageBreakBefore w:val="0"/>
        <w:widowControl w:val="0"/>
        <w:shd w:val="clear" w:color="auto" w:fill="auto"/>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color w:val="000000"/>
          <w:spacing w:val="-1"/>
          <w:kern w:val="2"/>
          <w:sz w:val="32"/>
          <w:szCs w:val="32"/>
          <w:lang w:val="en-US" w:eastAsia="zh-CN" w:bidi="ar-SA"/>
        </w:rPr>
      </w:pPr>
      <w:r>
        <w:rPr>
          <w:rFonts w:hint="eastAsia" w:ascii="仿宋" w:hAnsi="仿宋" w:eastAsia="仿宋" w:cs="仿宋"/>
          <w:sz w:val="32"/>
          <w:szCs w:val="32"/>
          <w:lang w:eastAsia="zh-CN"/>
        </w:rPr>
        <w:t>落实</w:t>
      </w:r>
      <w:r>
        <w:rPr>
          <w:rFonts w:hint="eastAsia" w:ascii="仿宋" w:hAnsi="仿宋" w:eastAsia="仿宋" w:cs="仿宋"/>
          <w:sz w:val="32"/>
          <w:szCs w:val="32"/>
        </w:rPr>
        <w:t>“八五”普法总结评估和“九五”普法规划编制工作，</w:t>
      </w:r>
      <w:r>
        <w:rPr>
          <w:rFonts w:hint="eastAsia" w:ascii="仿宋" w:hAnsi="仿宋" w:eastAsia="仿宋" w:cs="仿宋"/>
          <w:sz w:val="32"/>
          <w:szCs w:val="32"/>
          <w:lang w:eastAsia="zh-CN"/>
        </w:rPr>
        <w:t>按照自治区法治宣传“</w:t>
      </w:r>
      <w:r>
        <w:rPr>
          <w:rFonts w:hint="eastAsia" w:ascii="仿宋" w:hAnsi="仿宋" w:eastAsia="仿宋" w:cs="仿宋"/>
          <w:sz w:val="32"/>
          <w:szCs w:val="32"/>
          <w:lang w:val="en-US" w:eastAsia="zh-CN"/>
        </w:rPr>
        <w:t>1+8</w:t>
      </w:r>
      <w:r>
        <w:rPr>
          <w:rFonts w:hint="eastAsia" w:ascii="仿宋" w:hAnsi="仿宋" w:eastAsia="仿宋" w:cs="仿宋"/>
          <w:sz w:val="32"/>
          <w:szCs w:val="32"/>
          <w:lang w:eastAsia="zh-CN"/>
        </w:rPr>
        <w:t>”模式，</w:t>
      </w:r>
      <w:r>
        <w:rPr>
          <w:rFonts w:hint="eastAsia" w:ascii="仿宋" w:hAnsi="仿宋" w:eastAsia="仿宋" w:cs="仿宋"/>
          <w:sz w:val="32"/>
          <w:szCs w:val="32"/>
          <w:lang w:val="en-US" w:eastAsia="zh-CN"/>
        </w:rPr>
        <w:t>创新青少年法治宣传形式，开展青少年法治直播、法治研学、法治书画展等活动，在探索与体验中激发学法热情。</w:t>
      </w:r>
      <w:r>
        <w:rPr>
          <w:rFonts w:hint="eastAsia" w:ascii="仿宋" w:hAnsi="仿宋" w:eastAsia="仿宋" w:cs="仿宋"/>
          <w:sz w:val="32"/>
          <w:szCs w:val="32"/>
        </w:rPr>
        <w:t>要加强媒体矩阵建设，加强与权威主流媒体深度合作，</w:t>
      </w:r>
      <w:r>
        <w:rPr>
          <w:rFonts w:hint="eastAsia" w:ascii="仿宋" w:hAnsi="仿宋" w:eastAsia="仿宋" w:cs="仿宋"/>
          <w:sz w:val="32"/>
          <w:szCs w:val="32"/>
          <w:lang w:eastAsia="zh-CN"/>
        </w:rPr>
        <w:t>深耕司法行政这座“富矿”，打造更多乌海法治宣传特色品牌</w:t>
      </w:r>
      <w:r>
        <w:rPr>
          <w:rFonts w:hint="eastAsia" w:ascii="仿宋" w:hAnsi="仿宋" w:eastAsia="仿宋" w:cs="仿宋"/>
          <w:sz w:val="32"/>
          <w:szCs w:val="32"/>
        </w:rPr>
        <w:t>。</w:t>
      </w:r>
    </w:p>
    <w:p w14:paraId="3615E1E2">
      <w:pPr>
        <w:pStyle w:val="2"/>
        <w:keepNext w:val="0"/>
        <w:keepLines w:val="0"/>
        <w:pageBreakBefore w:val="0"/>
        <w:widowControl w:val="0"/>
        <w:shd w:val="clear" w:color="auto" w:fill="auto"/>
        <w:kinsoku/>
        <w:wordWrap/>
        <w:overflowPunct w:val="0"/>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bCs/>
          <w:color w:val="000000"/>
          <w:spacing w:val="-1"/>
          <w:kern w:val="2"/>
          <w:sz w:val="32"/>
          <w:szCs w:val="32"/>
          <w:lang w:val="en-US" w:eastAsia="zh-CN" w:bidi="ar-SA"/>
        </w:rPr>
      </w:pPr>
      <w:r>
        <w:rPr>
          <w:rFonts w:hint="eastAsia" w:ascii="楷体" w:hAnsi="楷体" w:eastAsia="楷体" w:cs="楷体"/>
          <w:b w:val="0"/>
          <w:bCs w:val="0"/>
          <w:i w:val="0"/>
          <w:caps w:val="0"/>
          <w:color w:val="000000"/>
          <w:spacing w:val="0"/>
          <w:kern w:val="0"/>
          <w:sz w:val="32"/>
          <w:szCs w:val="32"/>
          <w:shd w:val="clear" w:color="auto" w:fill="FFFFFF"/>
          <w:lang w:val="en-US" w:eastAsia="zh-CN" w:bidi="ar"/>
        </w:rPr>
        <w:t>14.</w:t>
      </w:r>
      <w:r>
        <w:rPr>
          <w:rFonts w:hint="eastAsia" w:cs="楷体"/>
          <w:b w:val="0"/>
          <w:bCs w:val="0"/>
          <w:i w:val="0"/>
          <w:caps w:val="0"/>
          <w:color w:val="000000"/>
          <w:spacing w:val="0"/>
          <w:kern w:val="0"/>
          <w:sz w:val="32"/>
          <w:szCs w:val="32"/>
          <w:shd w:val="clear" w:color="auto" w:fill="FFFFFF"/>
          <w:lang w:val="en-US" w:eastAsia="zh-CN" w:bidi="ar"/>
        </w:rPr>
        <w:t>强化数字赋能。</w:t>
      </w:r>
    </w:p>
    <w:p w14:paraId="7656AD56">
      <w:pPr>
        <w:keepNext w:val="0"/>
        <w:keepLines w:val="0"/>
        <w:pageBreakBefore w:val="0"/>
        <w:widowControl w:val="0"/>
        <w:shd w:val="clear" w:color="auto" w:fill="auto"/>
        <w:kinsoku/>
        <w:wordWrap/>
        <w:overflowPunct w:val="0"/>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color w:val="000000"/>
          <w:spacing w:val="-1"/>
          <w:kern w:val="2"/>
          <w:sz w:val="32"/>
          <w:szCs w:val="32"/>
          <w:lang w:val="en-US" w:eastAsia="zh-CN" w:bidi="ar-SA"/>
        </w:rPr>
      </w:pPr>
      <w:r>
        <w:rPr>
          <w:rFonts w:hint="eastAsia" w:ascii="仿宋" w:hAnsi="仿宋" w:eastAsia="仿宋" w:cs="仿宋"/>
          <w:sz w:val="32"/>
          <w:szCs w:val="32"/>
        </w:rPr>
        <w:t>紧扣“为工作服务、为基层服务、为工作人员服务”导向，全力配合全区政法综治一体化应用平台建设，完善重大矛盾纠纷及重点群体全量数据库</w:t>
      </w:r>
      <w:r>
        <w:rPr>
          <w:rFonts w:hint="eastAsia" w:ascii="仿宋" w:hAnsi="仿宋" w:eastAsia="仿宋" w:cs="仿宋"/>
          <w:sz w:val="32"/>
          <w:szCs w:val="32"/>
          <w:lang w:eastAsia="zh-CN"/>
        </w:rPr>
        <w:t>。</w:t>
      </w:r>
    </w:p>
    <w:p w14:paraId="68A24850">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36" w:firstLineChars="200"/>
        <w:jc w:val="both"/>
        <w:textAlignment w:val="auto"/>
        <w:rPr>
          <w:rFonts w:hint="eastAsia" w:ascii="黑体" w:hAnsi="黑体" w:eastAsia="黑体" w:cs="黑体"/>
          <w:color w:val="000000"/>
          <w:spacing w:val="-1"/>
          <w:kern w:val="2"/>
          <w:sz w:val="32"/>
          <w:szCs w:val="32"/>
          <w:lang w:val="en-US" w:eastAsia="zh-CN" w:bidi="ar-SA"/>
        </w:rPr>
      </w:pPr>
      <w:r>
        <w:rPr>
          <w:rFonts w:hint="eastAsia" w:ascii="黑体" w:hAnsi="黑体" w:eastAsia="黑体" w:cs="黑体"/>
          <w:color w:val="000000"/>
          <w:spacing w:val="-1"/>
          <w:kern w:val="2"/>
          <w:sz w:val="32"/>
          <w:szCs w:val="32"/>
          <w:lang w:val="en-US" w:eastAsia="zh-CN" w:bidi="ar-SA"/>
        </w:rPr>
        <w:t>五、筑牢祖国北疆安全稳定屏障，维护社会安全稳定。</w:t>
      </w:r>
    </w:p>
    <w:p w14:paraId="776992A6">
      <w:pPr>
        <w:keepNext w:val="0"/>
        <w:keepLines w:val="0"/>
        <w:pageBreakBefore w:val="0"/>
        <w:widowControl w:val="0"/>
        <w:numPr>
          <w:ilvl w:val="0"/>
          <w:numId w:val="0"/>
        </w:numPr>
        <w:suppressLineNumbers w:val="0"/>
        <w:shd w:val="clear" w:color="auto" w:fill="auto"/>
        <w:kinsoku/>
        <w:wordWrap/>
        <w:overflowPunct w:val="0"/>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bCs/>
          <w:color w:val="000000"/>
          <w:spacing w:val="-1"/>
          <w:kern w:val="2"/>
          <w:sz w:val="32"/>
          <w:szCs w:val="32"/>
          <w:lang w:val="en-US" w:eastAsia="zh-CN" w:bidi="ar-SA"/>
        </w:rPr>
      </w:pPr>
      <w:r>
        <w:rPr>
          <w:rFonts w:hint="eastAsia" w:ascii="楷体" w:hAnsi="楷体" w:eastAsia="楷体" w:cs="楷体"/>
          <w:b w:val="0"/>
          <w:bCs w:val="0"/>
          <w:i w:val="0"/>
          <w:caps w:val="0"/>
          <w:color w:val="000000"/>
          <w:spacing w:val="0"/>
          <w:kern w:val="0"/>
          <w:sz w:val="32"/>
          <w:szCs w:val="32"/>
          <w:shd w:val="clear" w:color="auto" w:fill="FFFFFF"/>
          <w:lang w:val="en-US" w:eastAsia="zh-CN" w:bidi="ar"/>
        </w:rPr>
        <w:t>15.优化戒毒资源。</w:t>
      </w:r>
    </w:p>
    <w:p w14:paraId="612B4E14">
      <w:pPr>
        <w:keepNext w:val="0"/>
        <w:keepLines w:val="0"/>
        <w:pageBreakBefore w:val="0"/>
        <w:widowControl w:val="0"/>
        <w:shd w:val="clear" w:color="auto" w:fill="auto"/>
        <w:kinsoku/>
        <w:wordWrap/>
        <w:overflowPunct w:val="0"/>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pacing w:val="-1"/>
          <w:kern w:val="2"/>
          <w:sz w:val="32"/>
          <w:szCs w:val="32"/>
          <w:lang w:val="en-US" w:eastAsia="zh-CN" w:bidi="ar-SA"/>
        </w:rPr>
      </w:pPr>
      <w:r>
        <w:rPr>
          <w:rFonts w:hint="eastAsia" w:ascii="仿宋" w:hAnsi="仿宋" w:eastAsia="仿宋" w:cs="仿宋"/>
          <w:sz w:val="32"/>
          <w:szCs w:val="32"/>
        </w:rPr>
        <w:t>持续加大戒毒人员收治力度，开展戒毒康复专区建设，打造优势戒治项目，推动收治工作取得更大战果。统筹用好戒毒警力和场所资源，在机构不变、队伍不散的前提下，</w:t>
      </w:r>
      <w:r>
        <w:rPr>
          <w:rFonts w:hint="eastAsia" w:ascii="仿宋" w:hAnsi="仿宋" w:eastAsia="仿宋" w:cs="仿宋"/>
          <w:sz w:val="32"/>
          <w:szCs w:val="32"/>
          <w:lang w:val="en-US" w:eastAsia="zh-CN"/>
        </w:rPr>
        <w:t>深化戒毒“一体两翼”工作模式，积极推动戒毒康复指导社会化延伸工作，对社戒、社康、社矫人员进行康复训练指导,开展禁毒宣传，</w:t>
      </w:r>
      <w:r>
        <w:rPr>
          <w:rFonts w:hint="eastAsia" w:ascii="仿宋" w:hAnsi="仿宋" w:eastAsia="仿宋" w:cs="仿宋"/>
          <w:sz w:val="32"/>
          <w:szCs w:val="32"/>
        </w:rPr>
        <w:t>参与司法所等工作。</w:t>
      </w:r>
    </w:p>
    <w:p w14:paraId="08C35803">
      <w:pPr>
        <w:keepNext w:val="0"/>
        <w:keepLines w:val="0"/>
        <w:pageBreakBefore w:val="0"/>
        <w:widowControl w:val="0"/>
        <w:numPr>
          <w:ilvl w:val="0"/>
          <w:numId w:val="0"/>
        </w:numPr>
        <w:suppressLineNumbers w:val="0"/>
        <w:shd w:val="clear" w:color="auto" w:fill="auto"/>
        <w:kinsoku/>
        <w:wordWrap/>
        <w:overflowPunct w:val="0"/>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bCs/>
          <w:color w:val="000000"/>
          <w:spacing w:val="-1"/>
          <w:kern w:val="2"/>
          <w:sz w:val="32"/>
          <w:szCs w:val="32"/>
          <w:lang w:val="en-US" w:eastAsia="zh-CN" w:bidi="ar-SA"/>
        </w:rPr>
      </w:pPr>
      <w:r>
        <w:rPr>
          <w:rFonts w:hint="eastAsia" w:ascii="楷体" w:hAnsi="楷体" w:eastAsia="楷体" w:cs="楷体"/>
          <w:b w:val="0"/>
          <w:bCs w:val="0"/>
          <w:i w:val="0"/>
          <w:caps w:val="0"/>
          <w:color w:val="000000"/>
          <w:spacing w:val="0"/>
          <w:kern w:val="0"/>
          <w:sz w:val="32"/>
          <w:szCs w:val="32"/>
          <w:shd w:val="clear" w:color="auto" w:fill="FFFFFF"/>
          <w:lang w:val="en-US" w:eastAsia="zh-CN" w:bidi="ar"/>
        </w:rPr>
        <w:t>16.加力化解矛盾纠纷。</w:t>
      </w:r>
    </w:p>
    <w:p w14:paraId="2A8DD57D">
      <w:pPr>
        <w:keepNext w:val="0"/>
        <w:keepLines w:val="0"/>
        <w:pageBreakBefore w:val="0"/>
        <w:widowControl w:val="0"/>
        <w:numPr>
          <w:ilvl w:val="0"/>
          <w:numId w:val="0"/>
        </w:numPr>
        <w:suppressLineNumbers w:val="0"/>
        <w:shd w:val="clear" w:color="auto" w:fill="auto"/>
        <w:kinsoku/>
        <w:wordWrap/>
        <w:overflowPunct w:val="0"/>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pacing w:val="-1"/>
          <w:kern w:val="2"/>
          <w:sz w:val="32"/>
          <w:szCs w:val="32"/>
          <w:lang w:val="en-US" w:eastAsia="zh-CN" w:bidi="ar-SA"/>
        </w:rPr>
      </w:pPr>
      <w:r>
        <w:rPr>
          <w:rFonts w:hint="eastAsia" w:ascii="仿宋" w:hAnsi="仿宋" w:eastAsia="仿宋" w:cs="仿宋"/>
          <w:sz w:val="32"/>
          <w:szCs w:val="32"/>
        </w:rPr>
        <w:t>坚持和发展新时代“枫桥经验”，</w:t>
      </w:r>
      <w:r>
        <w:rPr>
          <w:rFonts w:hint="eastAsia" w:ascii="仿宋" w:hAnsi="仿宋" w:eastAsia="仿宋" w:cs="仿宋"/>
          <w:sz w:val="32"/>
          <w:szCs w:val="32"/>
          <w:lang w:eastAsia="zh-CN"/>
        </w:rPr>
        <w:t>结合</w:t>
      </w:r>
      <w:r>
        <w:rPr>
          <w:rFonts w:hint="eastAsia" w:ascii="仿宋" w:hAnsi="仿宋" w:eastAsia="仿宋" w:cs="仿宋"/>
          <w:sz w:val="32"/>
          <w:szCs w:val="32"/>
        </w:rPr>
        <w:t>“化解矛盾风险 维护社会稳定”专项治理</w:t>
      </w:r>
      <w:r>
        <w:rPr>
          <w:rFonts w:hint="eastAsia" w:ascii="仿宋" w:hAnsi="仿宋" w:eastAsia="仿宋" w:cs="仿宋"/>
          <w:sz w:val="32"/>
          <w:szCs w:val="32"/>
          <w:lang w:eastAsia="zh-CN"/>
        </w:rPr>
        <w:t>，开展</w:t>
      </w:r>
      <w:r>
        <w:rPr>
          <w:rFonts w:hint="eastAsia" w:ascii="仿宋" w:hAnsi="仿宋" w:eastAsia="仿宋" w:cs="仿宋"/>
          <w:sz w:val="32"/>
          <w:szCs w:val="32"/>
        </w:rPr>
        <w:t>“人民调解护稳定”专项行动，</w:t>
      </w:r>
      <w:r>
        <w:rPr>
          <w:rFonts w:hint="eastAsia" w:ascii="仿宋" w:hAnsi="仿宋" w:eastAsia="仿宋" w:cs="仿宋"/>
          <w:sz w:val="32"/>
          <w:szCs w:val="32"/>
          <w:lang w:eastAsia="zh-CN"/>
        </w:rPr>
        <w:t>形成矛盾风险预防化解常治长效机制</w:t>
      </w:r>
      <w:r>
        <w:rPr>
          <w:rFonts w:hint="eastAsia" w:ascii="仿宋" w:hAnsi="仿宋" w:eastAsia="仿宋" w:cs="仿宋"/>
          <w:sz w:val="32"/>
          <w:szCs w:val="32"/>
        </w:rPr>
        <w:t>，推进信访工作法治化，全面排查、实质化解各类矛盾纠纷和风险隐患，最大限度把矛盾纠纷化解在基层和萌芽状态。</w:t>
      </w:r>
      <w:r>
        <w:rPr>
          <w:rFonts w:hint="eastAsia" w:ascii="仿宋" w:hAnsi="仿宋" w:eastAsia="仿宋" w:cs="仿宋"/>
          <w:sz w:val="32"/>
          <w:szCs w:val="32"/>
          <w:lang w:val="en-US" w:eastAsia="zh-CN"/>
        </w:rPr>
        <w:t>完善校园矛盾纠纷多元化解机制，推动成立校园纠纷人民调解委员会，有效预防和及时化解校园矛盾纠纷。</w:t>
      </w:r>
      <w:r>
        <w:rPr>
          <w:rFonts w:hint="eastAsia" w:ascii="仿宋" w:hAnsi="仿宋" w:eastAsia="仿宋" w:cs="仿宋"/>
          <w:sz w:val="32"/>
          <w:szCs w:val="32"/>
        </w:rPr>
        <w:t>深入推进常态化扫黑除恶斗争，抓好</w:t>
      </w:r>
      <w:r>
        <w:rPr>
          <w:rFonts w:hint="eastAsia" w:ascii="仿宋" w:hAnsi="仿宋" w:eastAsia="仿宋" w:cs="仿宋"/>
          <w:sz w:val="32"/>
          <w:szCs w:val="32"/>
          <w:lang w:eastAsia="zh-CN"/>
        </w:rPr>
        <w:t>自治区</w:t>
      </w:r>
      <w:r>
        <w:rPr>
          <w:rFonts w:hint="eastAsia" w:ascii="仿宋" w:hAnsi="仿宋" w:eastAsia="仿宋" w:cs="仿宋"/>
          <w:sz w:val="32"/>
          <w:szCs w:val="32"/>
        </w:rPr>
        <w:t>督导反馈问题整改。加强重点人群管控，依法精准开展社区矫正调查评估，</w:t>
      </w:r>
      <w:r>
        <w:rPr>
          <w:rFonts w:hint="eastAsia" w:ascii="仿宋" w:hAnsi="仿宋" w:eastAsia="仿宋" w:cs="仿宋"/>
          <w:sz w:val="32"/>
          <w:szCs w:val="32"/>
          <w:lang w:val="en-US" w:eastAsia="zh-CN"/>
        </w:rPr>
        <w:t>开展全市社区矫正对象外出请假审批工作“六个是否”专项督查，</w:t>
      </w:r>
      <w:r>
        <w:rPr>
          <w:rFonts w:hint="eastAsia" w:ascii="仿宋" w:hAnsi="仿宋" w:eastAsia="仿宋" w:cs="仿宋"/>
          <w:sz w:val="32"/>
          <w:szCs w:val="32"/>
        </w:rPr>
        <w:t>强化刑满释放人员衔接管理、安置帮教，做到排查到位、化解到位、责任到位，防止漏管失控。</w:t>
      </w:r>
    </w:p>
    <w:p w14:paraId="3514E000">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
          <w:bCs/>
          <w:color w:val="000000"/>
          <w:spacing w:val="-1"/>
          <w:kern w:val="2"/>
          <w:sz w:val="32"/>
          <w:szCs w:val="32"/>
          <w:lang w:val="en-US" w:eastAsia="zh-CN" w:bidi="ar-SA"/>
        </w:rPr>
      </w:pPr>
      <w:r>
        <w:rPr>
          <w:rFonts w:hint="eastAsia" w:ascii="楷体" w:hAnsi="楷体" w:eastAsia="楷体" w:cs="楷体"/>
          <w:b w:val="0"/>
          <w:bCs w:val="0"/>
          <w:i w:val="0"/>
          <w:caps w:val="0"/>
          <w:color w:val="000000"/>
          <w:spacing w:val="0"/>
          <w:kern w:val="0"/>
          <w:sz w:val="32"/>
          <w:szCs w:val="32"/>
          <w:shd w:val="clear" w:color="auto" w:fill="FFFFFF"/>
          <w:lang w:val="en-US" w:eastAsia="zh-CN" w:bidi="ar"/>
        </w:rPr>
        <w:t>17.强抓基层基础。</w:t>
      </w:r>
    </w:p>
    <w:p w14:paraId="1F90BFF4">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加快推进司法所标准化规范化建设，持续开展“千名干警下基层”活动，</w:t>
      </w:r>
      <w:r>
        <w:rPr>
          <w:rFonts w:hint="eastAsia" w:ascii="仿宋" w:hAnsi="仿宋" w:eastAsia="仿宋" w:cs="仿宋"/>
          <w:sz w:val="32"/>
          <w:szCs w:val="32"/>
          <w:lang w:val="en-US" w:eastAsia="zh-CN"/>
        </w:rPr>
        <w:t>实施“律师青苗”工程，鼓励青年律师积极到司法所挂职锻炼，参与司法所公益法律咨询、社区普法讲座等活动，</w:t>
      </w:r>
      <w:r>
        <w:rPr>
          <w:rFonts w:hint="eastAsia" w:ascii="仿宋" w:hAnsi="仿宋" w:eastAsia="仿宋" w:cs="仿宋"/>
          <w:sz w:val="32"/>
          <w:szCs w:val="32"/>
        </w:rPr>
        <w:t>多措并举充实司法所力量。各</w:t>
      </w:r>
      <w:r>
        <w:rPr>
          <w:rFonts w:hint="eastAsia" w:ascii="仿宋" w:hAnsi="仿宋" w:eastAsia="仿宋" w:cs="仿宋"/>
          <w:sz w:val="32"/>
          <w:szCs w:val="32"/>
          <w:lang w:eastAsia="zh-CN"/>
        </w:rPr>
        <w:t>区</w:t>
      </w:r>
      <w:r>
        <w:rPr>
          <w:rFonts w:hint="eastAsia" w:ascii="仿宋" w:hAnsi="仿宋" w:eastAsia="仿宋" w:cs="仿宋"/>
          <w:sz w:val="32"/>
          <w:szCs w:val="32"/>
        </w:rPr>
        <w:t>司法局要加强政法专项编制统筹和动态管理，保证每个司法所必须到位两个政法编制工作人员，夯实基层法治根基。发挥“四所一庭”机制优势，全力支持综治中心建设。</w:t>
      </w:r>
    </w:p>
    <w:p w14:paraId="32F87C7D">
      <w:pPr>
        <w:keepNext w:val="0"/>
        <w:keepLines w:val="0"/>
        <w:pageBreakBefore w:val="0"/>
        <w:widowControl w:val="0"/>
        <w:numPr>
          <w:ilvl w:val="0"/>
          <w:numId w:val="0"/>
        </w:numPr>
        <w:suppressLineNumbers w:val="0"/>
        <w:shd w:val="clear" w:color="auto" w:fill="auto"/>
        <w:kinsoku/>
        <w:wordWrap/>
        <w:overflowPunct w:val="0"/>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bCs/>
          <w:color w:val="000000"/>
          <w:spacing w:val="-1"/>
          <w:kern w:val="2"/>
          <w:sz w:val="32"/>
          <w:szCs w:val="32"/>
          <w:lang w:val="en-US" w:eastAsia="zh-CN" w:bidi="ar-SA"/>
        </w:rPr>
      </w:pPr>
      <w:r>
        <w:rPr>
          <w:rFonts w:hint="eastAsia" w:ascii="楷体" w:hAnsi="楷体" w:eastAsia="楷体" w:cs="楷体"/>
          <w:b w:val="0"/>
          <w:bCs w:val="0"/>
          <w:i w:val="0"/>
          <w:caps w:val="0"/>
          <w:color w:val="000000"/>
          <w:spacing w:val="0"/>
          <w:kern w:val="0"/>
          <w:sz w:val="32"/>
          <w:szCs w:val="32"/>
          <w:shd w:val="clear" w:color="auto" w:fill="FFFFFF"/>
          <w:lang w:val="en-US" w:eastAsia="zh-CN" w:bidi="ar"/>
        </w:rPr>
        <w:t>18.做实保密安全防范</w:t>
      </w:r>
    </w:p>
    <w:p w14:paraId="2A9B273C">
      <w:pPr>
        <w:pStyle w:val="2"/>
        <w:keepNext w:val="0"/>
        <w:keepLines w:val="0"/>
        <w:pageBreakBefore w:val="0"/>
        <w:widowControl w:val="0"/>
        <w:kinsoku/>
        <w:wordWrap/>
        <w:autoSpaceDE/>
        <w:autoSpaceDN/>
        <w:bidi w:val="0"/>
        <w:adjustRightInd/>
        <w:snapToGrid/>
        <w:spacing w:line="560" w:lineRule="exact"/>
        <w:textAlignment w:val="auto"/>
        <w:rPr>
          <w:rFonts w:hint="eastAsia" w:ascii="Times New Roman" w:hAnsi="Times New Roman" w:eastAsia="仿宋_GB2312" w:cs="仿宋_GB2312"/>
          <w:color w:val="000000"/>
          <w:spacing w:val="-1"/>
          <w:kern w:val="2"/>
          <w:sz w:val="32"/>
          <w:szCs w:val="32"/>
          <w:lang w:val="en-US" w:eastAsia="zh-CN" w:bidi="ar-SA"/>
        </w:rPr>
      </w:pPr>
      <w:r>
        <w:rPr>
          <w:rFonts w:hint="eastAsia" w:ascii="仿宋" w:hAnsi="仿宋" w:eastAsia="仿宋" w:cs="仿宋"/>
          <w:color w:val="000000"/>
          <w:spacing w:val="-1"/>
          <w:kern w:val="2"/>
          <w:sz w:val="32"/>
          <w:szCs w:val="32"/>
          <w:lang w:val="en-US" w:eastAsia="zh-CN" w:bidi="ar-SA"/>
        </w:rPr>
        <w:t>坚定不移贯彻落实总体国家安全观、《中华人民共和国保守国家秘密法》，以高度的责任感、使命感和极端认真负责的态度抓好保密工作，守牢不发生重大失泄密事件底线。贯彻落实《中华人民共和国档案法实施条例》，规范档案管理工作，建立健全档案管理制度，加强工作人员教育培训，提升广大干部收集档案、保护档案的专业意识和法律意识；加强档案数字化建设，利用现代信息技术手段，提高档案管理质效和安全；加强档案日常监督检查，确保档案工作的安全性。</w:t>
      </w:r>
    </w:p>
    <w:p w14:paraId="6BA69979">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楷体" w:hAnsi="楷体" w:eastAsia="楷体" w:cs="楷体"/>
          <w:b w:val="0"/>
          <w:bCs w:val="0"/>
          <w:i w:val="0"/>
          <w:caps w:val="0"/>
          <w:color w:val="000000"/>
          <w:spacing w:val="0"/>
          <w:kern w:val="0"/>
          <w:sz w:val="32"/>
          <w:szCs w:val="32"/>
          <w:shd w:val="clear" w:color="auto" w:fill="FFFFFF"/>
          <w:lang w:val="en-US" w:eastAsia="zh-CN" w:bidi="ar"/>
        </w:rPr>
      </w:pPr>
      <w:r>
        <w:rPr>
          <w:rFonts w:hint="eastAsia" w:ascii="楷体" w:hAnsi="楷体" w:eastAsia="楷体" w:cs="楷体"/>
          <w:b w:val="0"/>
          <w:bCs w:val="0"/>
          <w:i w:val="0"/>
          <w:caps w:val="0"/>
          <w:color w:val="000000"/>
          <w:spacing w:val="0"/>
          <w:kern w:val="0"/>
          <w:sz w:val="32"/>
          <w:szCs w:val="32"/>
          <w:shd w:val="clear" w:color="auto" w:fill="FFFFFF"/>
          <w:lang w:val="en-US" w:eastAsia="zh-CN" w:bidi="ar"/>
        </w:rPr>
        <w:t>19.在信访化解上再发力</w:t>
      </w:r>
    </w:p>
    <w:p w14:paraId="52E89A57">
      <w:pPr>
        <w:keepNext w:val="0"/>
        <w:keepLines w:val="0"/>
        <w:pageBreakBefore w:val="0"/>
        <w:widowControl w:val="0"/>
        <w:kinsoku/>
        <w:wordWrap/>
        <w:autoSpaceDE/>
        <w:autoSpaceDN/>
        <w:bidi w:val="0"/>
        <w:adjustRightInd/>
        <w:snapToGrid/>
        <w:spacing w:line="560" w:lineRule="exact"/>
        <w:ind w:firstLine="636" w:firstLineChars="200"/>
        <w:textAlignment w:val="auto"/>
        <w:rPr>
          <w:rFonts w:hint="eastAsia"/>
          <w:lang w:val="en-US" w:eastAsia="zh-CN"/>
        </w:rPr>
      </w:pPr>
      <w:r>
        <w:rPr>
          <w:rFonts w:hint="eastAsia" w:ascii="仿宋" w:hAnsi="仿宋" w:eastAsia="仿宋" w:cs="仿宋"/>
          <w:color w:val="000000"/>
          <w:spacing w:val="-1"/>
          <w:kern w:val="2"/>
          <w:sz w:val="32"/>
          <w:szCs w:val="32"/>
          <w:lang w:val="en-US" w:eastAsia="zh-CN" w:bidi="ar-SA"/>
        </w:rPr>
        <w:t>全面推行信访代办制，贯彻落实《信访工作条例》，推进预防、受理、办理、监督追责、维护秩序“五个法治化”，严格执行“三个不予受理”“两个不再受理”等规定，下大力气解决系统内信访问题，真正把责任压实、把事情解决。</w:t>
      </w:r>
    </w:p>
    <w:p w14:paraId="168BB09E">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36" w:firstLineChars="200"/>
        <w:jc w:val="both"/>
        <w:textAlignment w:val="auto"/>
        <w:rPr>
          <w:rFonts w:hint="eastAsia" w:ascii="黑体" w:hAnsi="黑体" w:eastAsia="黑体" w:cs="黑体"/>
          <w:color w:val="000000"/>
          <w:spacing w:val="-1"/>
          <w:kern w:val="2"/>
          <w:sz w:val="32"/>
          <w:szCs w:val="32"/>
          <w:lang w:val="en-US" w:eastAsia="zh-CN" w:bidi="ar-SA"/>
        </w:rPr>
      </w:pPr>
      <w:r>
        <w:rPr>
          <w:rFonts w:hint="eastAsia" w:ascii="黑体" w:hAnsi="黑体" w:eastAsia="黑体" w:cs="黑体"/>
          <w:color w:val="000000"/>
          <w:spacing w:val="-1"/>
          <w:kern w:val="2"/>
          <w:sz w:val="32"/>
          <w:szCs w:val="32"/>
          <w:lang w:val="en-US" w:eastAsia="zh-CN" w:bidi="ar-SA"/>
        </w:rPr>
        <w:t>六、深化司法行政改革，推动重点改革任务落地落实</w:t>
      </w:r>
    </w:p>
    <w:p w14:paraId="05554FAD">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楷体" w:hAnsi="楷体" w:eastAsia="楷体" w:cs="楷体"/>
          <w:b w:val="0"/>
          <w:bCs w:val="0"/>
          <w:i w:val="0"/>
          <w:caps w:val="0"/>
          <w:color w:val="000000"/>
          <w:spacing w:val="0"/>
          <w:kern w:val="0"/>
          <w:sz w:val="32"/>
          <w:szCs w:val="32"/>
          <w:shd w:val="clear" w:color="auto" w:fill="FFFFFF"/>
          <w:lang w:val="en-US" w:eastAsia="zh-CN" w:bidi="ar"/>
        </w:rPr>
      </w:pPr>
      <w:r>
        <w:rPr>
          <w:rFonts w:hint="eastAsia" w:ascii="楷体" w:hAnsi="楷体" w:eastAsia="楷体" w:cs="楷体"/>
          <w:b w:val="0"/>
          <w:bCs w:val="0"/>
          <w:i w:val="0"/>
          <w:caps w:val="0"/>
          <w:color w:val="000000"/>
          <w:spacing w:val="0"/>
          <w:kern w:val="0"/>
          <w:sz w:val="32"/>
          <w:szCs w:val="32"/>
          <w:shd w:val="clear" w:color="auto" w:fill="FFFFFF"/>
          <w:lang w:val="en-US" w:eastAsia="zh-CN" w:bidi="ar"/>
        </w:rPr>
        <w:t>20.理顺工作机制。</w:t>
      </w:r>
    </w:p>
    <w:p w14:paraId="4C923A3D">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Times New Roman" w:hAnsi="Times New Roman"/>
          <w:lang w:val="en-US" w:eastAsia="zh-CN"/>
        </w:rPr>
      </w:pPr>
      <w:r>
        <w:rPr>
          <w:rFonts w:hint="eastAsia" w:ascii="仿宋" w:hAnsi="仿宋" w:eastAsia="仿宋" w:cs="仿宋"/>
          <w:sz w:val="32"/>
          <w:szCs w:val="32"/>
        </w:rPr>
        <w:t>统筹推进立法、执法、司法、守法等各方面改革，加强各项工作法治化规范化制度机制建设，开展制度机制大起底，逐项梳理研判是否健全、有效、运行顺畅，通过“固化形成、执行落实、总结分析、改进完善”等方式，形成务实管用的制度机制</w:t>
      </w:r>
      <w:r>
        <w:rPr>
          <w:rFonts w:hint="eastAsia" w:ascii="仿宋" w:hAnsi="仿宋" w:eastAsia="仿宋" w:cs="仿宋"/>
          <w:sz w:val="32"/>
          <w:szCs w:val="32"/>
          <w:lang w:eastAsia="zh-CN"/>
        </w:rPr>
        <w:t>，以改革解难题开新局</w:t>
      </w:r>
      <w:r>
        <w:rPr>
          <w:rFonts w:hint="eastAsia" w:ascii="仿宋" w:hAnsi="仿宋" w:eastAsia="仿宋" w:cs="仿宋"/>
          <w:sz w:val="32"/>
          <w:szCs w:val="32"/>
        </w:rPr>
        <w:t>。</w:t>
      </w:r>
    </w:p>
    <w:p w14:paraId="1D3EF828">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
          <w:bCs/>
          <w:color w:val="000000"/>
          <w:spacing w:val="-1"/>
          <w:kern w:val="2"/>
          <w:sz w:val="32"/>
          <w:szCs w:val="32"/>
          <w:lang w:val="en-US" w:eastAsia="zh-CN" w:bidi="ar-SA"/>
        </w:rPr>
      </w:pPr>
      <w:r>
        <w:rPr>
          <w:rFonts w:hint="eastAsia" w:ascii="楷体" w:hAnsi="楷体" w:eastAsia="楷体" w:cs="楷体"/>
          <w:b w:val="0"/>
          <w:bCs w:val="0"/>
          <w:i w:val="0"/>
          <w:caps w:val="0"/>
          <w:color w:val="000000"/>
          <w:spacing w:val="0"/>
          <w:kern w:val="0"/>
          <w:sz w:val="32"/>
          <w:szCs w:val="32"/>
          <w:shd w:val="clear" w:color="auto" w:fill="FFFFFF"/>
          <w:lang w:val="en-US" w:eastAsia="zh-CN" w:bidi="ar"/>
        </w:rPr>
        <w:t>21.落实重点任务。</w:t>
      </w:r>
    </w:p>
    <w:p w14:paraId="0BDA1EA0">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Times New Roman" w:hAnsi="Times New Roman"/>
          <w:lang w:val="en-US" w:eastAsia="zh-CN"/>
        </w:rPr>
      </w:pPr>
      <w:r>
        <w:rPr>
          <w:rFonts w:hint="eastAsia" w:ascii="仿宋" w:hAnsi="仿宋" w:eastAsia="仿宋" w:cs="仿宋"/>
          <w:sz w:val="32"/>
          <w:szCs w:val="32"/>
        </w:rPr>
        <w:t>完善行政处罚和刑事处罚双向衔接制度，健全行政裁决工作制度，深化律师制度、公证体制、仲裁制度、调解制度、司法鉴定管理体制改革，推进刑事案件审查起诉阶段律师辩护全覆盖</w:t>
      </w:r>
      <w:r>
        <w:rPr>
          <w:rFonts w:hint="eastAsia" w:ascii="仿宋" w:hAnsi="仿宋" w:eastAsia="仿宋" w:cs="仿宋"/>
          <w:sz w:val="32"/>
          <w:szCs w:val="32"/>
          <w:lang w:eastAsia="zh-CN"/>
        </w:rPr>
        <w:t>。</w:t>
      </w:r>
    </w:p>
    <w:p w14:paraId="62AA71A2">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36" w:firstLineChars="200"/>
        <w:jc w:val="both"/>
        <w:textAlignment w:val="auto"/>
        <w:rPr>
          <w:rFonts w:hint="eastAsia" w:ascii="黑体" w:hAnsi="黑体" w:eastAsia="黑体" w:cs="黑体"/>
          <w:color w:val="000000"/>
          <w:spacing w:val="-1"/>
          <w:kern w:val="2"/>
          <w:sz w:val="32"/>
          <w:szCs w:val="32"/>
          <w:lang w:val="en-US" w:eastAsia="zh-CN" w:bidi="ar-SA"/>
        </w:rPr>
      </w:pPr>
      <w:r>
        <w:rPr>
          <w:rFonts w:hint="eastAsia" w:ascii="黑体" w:hAnsi="黑体" w:eastAsia="黑体" w:cs="黑体"/>
          <w:color w:val="000000"/>
          <w:spacing w:val="-1"/>
          <w:kern w:val="2"/>
          <w:sz w:val="32"/>
          <w:szCs w:val="32"/>
          <w:lang w:val="en-US" w:eastAsia="zh-CN" w:bidi="ar-SA"/>
        </w:rPr>
        <w:t>七、全面从严管党治警，锻造忠诚干净担当的司法铁军。</w:t>
      </w:r>
    </w:p>
    <w:p w14:paraId="0CA1F48F">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
          <w:bCs/>
          <w:color w:val="000000"/>
          <w:spacing w:val="-1"/>
          <w:kern w:val="2"/>
          <w:sz w:val="32"/>
          <w:szCs w:val="32"/>
          <w:lang w:val="en-US" w:eastAsia="zh-CN" w:bidi="ar-SA"/>
        </w:rPr>
      </w:pPr>
      <w:r>
        <w:rPr>
          <w:rFonts w:hint="eastAsia" w:ascii="楷体" w:hAnsi="楷体" w:eastAsia="楷体" w:cs="楷体"/>
          <w:b w:val="0"/>
          <w:bCs w:val="0"/>
          <w:i w:val="0"/>
          <w:caps w:val="0"/>
          <w:color w:val="000000"/>
          <w:spacing w:val="0"/>
          <w:kern w:val="0"/>
          <w:sz w:val="32"/>
          <w:szCs w:val="32"/>
          <w:shd w:val="clear" w:color="auto" w:fill="FFFFFF"/>
          <w:lang w:val="en-US" w:eastAsia="zh-CN" w:bidi="ar"/>
        </w:rPr>
        <w:t>22.加强政治建设。</w:t>
      </w:r>
    </w:p>
    <w:p w14:paraId="5D2FACB0">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仿宋" w:hAnsi="仿宋" w:eastAsia="仿宋" w:cs="仿宋"/>
          <w:color w:val="auto"/>
          <w:sz w:val="32"/>
          <w:szCs w:val="32"/>
        </w:rPr>
        <w:t>深刻理解把握、全面贯彻落实习近平总书记重要指示精神，贯彻落实政法工作条例、加强新时代政法工作的意见，严格执行党委政法</w:t>
      </w:r>
      <w:r>
        <w:rPr>
          <w:rFonts w:hint="eastAsia" w:ascii="仿宋" w:hAnsi="仿宋" w:eastAsia="仿宋" w:cs="仿宋"/>
          <w:color w:val="auto"/>
          <w:sz w:val="32"/>
          <w:szCs w:val="32"/>
          <w:lang w:eastAsia="zh-CN"/>
        </w:rPr>
        <w:t>委员会</w:t>
      </w:r>
      <w:r>
        <w:rPr>
          <w:rFonts w:hint="eastAsia" w:ascii="仿宋" w:hAnsi="仿宋" w:eastAsia="仿宋" w:cs="仿宋"/>
          <w:color w:val="auto"/>
          <w:sz w:val="32"/>
          <w:szCs w:val="32"/>
        </w:rPr>
        <w:t>重大事项请示报告等制度，确保各项决策部署不折不扣落地见效。全面贯彻领导班子建设规划纲要，建立优秀年轻干部库、专业化干部储备库，统筹考虑、择优配备，优化干部队伍结构，提升各级班子战斗力、凝聚力、执行力</w:t>
      </w:r>
      <w:r>
        <w:rPr>
          <w:rFonts w:hint="eastAsia" w:ascii="仿宋" w:hAnsi="仿宋" w:eastAsia="仿宋" w:cs="仿宋"/>
          <w:color w:val="auto"/>
          <w:sz w:val="32"/>
          <w:szCs w:val="32"/>
          <w:lang w:val="en-US" w:eastAsia="zh-CN"/>
        </w:rPr>
        <w:t>。</w:t>
      </w:r>
    </w:p>
    <w:p w14:paraId="5F00FEFB">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
          <w:bCs/>
          <w:color w:val="000000"/>
          <w:spacing w:val="-1"/>
          <w:kern w:val="2"/>
          <w:sz w:val="32"/>
          <w:szCs w:val="32"/>
          <w:lang w:val="en-US" w:eastAsia="zh-CN" w:bidi="ar-SA"/>
        </w:rPr>
      </w:pPr>
      <w:r>
        <w:rPr>
          <w:rFonts w:hint="eastAsia" w:ascii="楷体" w:hAnsi="楷体" w:eastAsia="楷体" w:cs="楷体"/>
          <w:b w:val="0"/>
          <w:bCs w:val="0"/>
          <w:i w:val="0"/>
          <w:caps w:val="0"/>
          <w:color w:val="000000"/>
          <w:spacing w:val="0"/>
          <w:kern w:val="0"/>
          <w:sz w:val="32"/>
          <w:szCs w:val="32"/>
          <w:shd w:val="clear" w:color="auto" w:fill="FFFFFF"/>
          <w:lang w:val="en-US" w:eastAsia="zh-CN" w:bidi="ar"/>
        </w:rPr>
        <w:t>23.加强能力建设。</w:t>
      </w:r>
    </w:p>
    <w:p w14:paraId="202A8595">
      <w:pPr>
        <w:pStyle w:val="1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 w:cs="仿宋_GB2312"/>
          <w:color w:val="000000"/>
          <w:spacing w:val="-1"/>
          <w:kern w:val="2"/>
          <w:sz w:val="32"/>
          <w:szCs w:val="32"/>
          <w:lang w:val="en-US" w:eastAsia="zh-CN" w:bidi="ar-SA"/>
        </w:rPr>
      </w:pPr>
      <w:r>
        <w:rPr>
          <w:rFonts w:hint="eastAsia" w:ascii="仿宋" w:hAnsi="仿宋" w:eastAsia="仿宋" w:cs="仿宋"/>
          <w:color w:val="auto"/>
          <w:sz w:val="32"/>
          <w:szCs w:val="32"/>
        </w:rPr>
        <w:t>完善分级分类培训机制，</w:t>
      </w:r>
      <w:r>
        <w:rPr>
          <w:rFonts w:hint="eastAsia" w:ascii="仿宋" w:hAnsi="仿宋" w:eastAsia="仿宋" w:cs="仿宋"/>
          <w:color w:val="auto"/>
          <w:sz w:val="32"/>
          <w:szCs w:val="32"/>
          <w:lang w:val="en-US" w:eastAsia="zh-CN"/>
        </w:rPr>
        <w:t>打造“法韵乌海·司法行政讲堂”，推动“党组成员讲政治、科室负责人讲业务、年轻干部上讲台”，全方位提高司法行政干部综合素质，促进干部担当作为。</w:t>
      </w:r>
      <w:r>
        <w:rPr>
          <w:rFonts w:hint="eastAsia" w:ascii="仿宋" w:hAnsi="仿宋" w:eastAsia="仿宋" w:cs="仿宋"/>
          <w:color w:val="auto"/>
          <w:sz w:val="32"/>
          <w:szCs w:val="32"/>
        </w:rPr>
        <w:t>深化戒毒干警岗位实战“大练兵”“大比武”活动，提高队伍素质能力。完善“选、育、管、用”全链条机制，推动年轻干部深入基层</w:t>
      </w:r>
      <w:r>
        <w:rPr>
          <w:rFonts w:hint="eastAsia" w:ascii="仿宋" w:hAnsi="仿宋" w:eastAsia="仿宋" w:cs="仿宋"/>
          <w:color w:val="auto"/>
          <w:sz w:val="32"/>
          <w:szCs w:val="32"/>
          <w:lang w:eastAsia="zh-CN"/>
        </w:rPr>
        <w:t>挂职</w:t>
      </w:r>
      <w:r>
        <w:rPr>
          <w:rFonts w:hint="eastAsia" w:ascii="仿宋" w:hAnsi="仿宋" w:eastAsia="仿宋" w:cs="仿宋"/>
          <w:color w:val="auto"/>
          <w:sz w:val="32"/>
          <w:szCs w:val="32"/>
        </w:rPr>
        <w:t>历练，</w:t>
      </w:r>
      <w:r>
        <w:rPr>
          <w:rFonts w:hint="eastAsia" w:ascii="仿宋" w:hAnsi="仿宋" w:eastAsia="仿宋" w:cs="仿宋"/>
          <w:color w:val="auto"/>
          <w:sz w:val="32"/>
          <w:szCs w:val="32"/>
          <w:lang w:eastAsia="zh-CN"/>
        </w:rPr>
        <w:t>提升干部能力素质。</w:t>
      </w:r>
    </w:p>
    <w:p w14:paraId="52555CD5">
      <w:pPr>
        <w:keepNext w:val="0"/>
        <w:keepLines w:val="0"/>
        <w:pageBreakBefore w:val="0"/>
        <w:widowControl w:val="0"/>
        <w:suppressLineNumbers w:val="0"/>
        <w:shd w:val="clear" w:color="auto" w:fill="auto"/>
        <w:kinsoku/>
        <w:wordWrap/>
        <w:overflowPunct w:val="0"/>
        <w:topLinePunct/>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
          <w:bCs/>
          <w:color w:val="000000"/>
          <w:spacing w:val="-1"/>
          <w:kern w:val="2"/>
          <w:sz w:val="32"/>
          <w:szCs w:val="32"/>
          <w:lang w:val="en-US" w:eastAsia="zh-CN" w:bidi="ar-SA"/>
        </w:rPr>
      </w:pPr>
      <w:r>
        <w:rPr>
          <w:rFonts w:hint="eastAsia" w:ascii="楷体" w:hAnsi="楷体" w:eastAsia="楷体" w:cs="楷体"/>
          <w:b w:val="0"/>
          <w:bCs w:val="0"/>
          <w:i w:val="0"/>
          <w:caps w:val="0"/>
          <w:color w:val="000000"/>
          <w:spacing w:val="0"/>
          <w:kern w:val="0"/>
          <w:sz w:val="32"/>
          <w:szCs w:val="32"/>
          <w:shd w:val="clear" w:color="auto" w:fill="FFFFFF"/>
          <w:lang w:val="en-US" w:eastAsia="zh-CN" w:bidi="ar"/>
        </w:rPr>
        <w:t>24.坚持严管厚爱。</w:t>
      </w:r>
    </w:p>
    <w:p w14:paraId="74168970">
      <w:pPr>
        <w:pStyle w:val="1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 w:cs="仿宋_GB2312"/>
          <w:color w:val="000000"/>
          <w:spacing w:val="-1"/>
          <w:kern w:val="2"/>
          <w:sz w:val="32"/>
          <w:szCs w:val="32"/>
          <w:lang w:val="en-US" w:eastAsia="zh-CN" w:bidi="ar-SA"/>
        </w:rPr>
      </w:pPr>
      <w:r>
        <w:rPr>
          <w:rFonts w:hint="eastAsia" w:ascii="仿宋" w:hAnsi="仿宋" w:eastAsia="仿宋" w:cs="仿宋"/>
          <w:color w:val="auto"/>
          <w:sz w:val="32"/>
          <w:szCs w:val="32"/>
        </w:rPr>
        <w:t>进一步健全完善职业保障机制，深入落实《整治形式主义为基层减负若干规定》。加强英模表彰和舆论宣传工作</w:t>
      </w:r>
      <w:r>
        <w:rPr>
          <w:rFonts w:hint="eastAsia" w:ascii="仿宋" w:hAnsi="仿宋" w:eastAsia="仿宋" w:cs="仿宋"/>
          <w:color w:val="auto"/>
          <w:sz w:val="32"/>
          <w:szCs w:val="32"/>
          <w:lang w:eastAsia="zh-CN"/>
        </w:rPr>
        <w:t>。制定强化纪律作风建设方案，</w:t>
      </w:r>
      <w:r>
        <w:rPr>
          <w:rFonts w:hint="eastAsia" w:ascii="仿宋" w:hAnsi="仿宋" w:eastAsia="仿宋" w:cs="仿宋"/>
          <w:color w:val="auto"/>
          <w:sz w:val="32"/>
          <w:szCs w:val="32"/>
        </w:rPr>
        <w:t>推动党纪学习教育常态化长效化</w:t>
      </w:r>
      <w:r>
        <w:rPr>
          <w:rFonts w:hint="eastAsia" w:ascii="仿宋" w:hAnsi="仿宋" w:eastAsia="仿宋" w:cs="仿宋"/>
          <w:color w:val="auto"/>
          <w:sz w:val="32"/>
          <w:szCs w:val="32"/>
          <w:lang w:eastAsia="zh-CN"/>
        </w:rPr>
        <w:t>。</w:t>
      </w:r>
    </w:p>
    <w:p w14:paraId="2DDE2A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5C8E7FCA">
      <w:pPr>
        <w:pStyle w:val="23"/>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 w:hAnsi="仿宋" w:eastAsia="仿宋" w:cs="仿宋"/>
          <w:spacing w:val="-12"/>
          <w:sz w:val="32"/>
          <w:szCs w:val="32"/>
        </w:rPr>
      </w:pPr>
    </w:p>
    <w:p w14:paraId="2B58693D">
      <w:pPr>
        <w:pStyle w:val="23"/>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 w:hAnsi="仿宋" w:eastAsia="仿宋" w:cs="仿宋"/>
          <w:spacing w:val="-12"/>
          <w:sz w:val="32"/>
          <w:szCs w:val="32"/>
        </w:rPr>
      </w:pPr>
    </w:p>
    <w:p w14:paraId="1BBD5F36">
      <w:pPr>
        <w:pStyle w:val="23"/>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 w:hAnsi="仿宋" w:eastAsia="仿宋" w:cs="仿宋"/>
          <w:spacing w:val="-12"/>
          <w:sz w:val="32"/>
          <w:szCs w:val="32"/>
        </w:rPr>
      </w:pPr>
    </w:p>
    <w:p w14:paraId="221CA38E">
      <w:pPr>
        <w:pStyle w:val="23"/>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 w:hAnsi="仿宋" w:eastAsia="仿宋" w:cs="仿宋"/>
          <w:spacing w:val="-12"/>
          <w:sz w:val="32"/>
          <w:szCs w:val="32"/>
        </w:rPr>
      </w:pPr>
    </w:p>
    <w:p w14:paraId="0006528B">
      <w:pPr>
        <w:pStyle w:val="23"/>
        <w:keepNext w:val="0"/>
        <w:keepLines w:val="0"/>
        <w:pageBreakBefore w:val="0"/>
        <w:widowControl w:val="0"/>
        <w:kinsoku/>
        <w:wordWrap/>
        <w:overflowPunct/>
        <w:topLinePunct w:val="0"/>
        <w:autoSpaceDE/>
        <w:autoSpaceDN/>
        <w:bidi w:val="0"/>
        <w:adjustRightInd/>
        <w:snapToGrid/>
        <w:spacing w:after="0" w:line="200" w:lineRule="exact"/>
        <w:ind w:left="0" w:leftChars="0" w:firstLine="0" w:firstLineChars="0"/>
        <w:textAlignment w:val="auto"/>
        <w:rPr>
          <w:rFonts w:ascii="仿宋" w:hAnsi="仿宋" w:eastAsia="仿宋" w:cs="仿宋"/>
          <w:spacing w:val="-12"/>
          <w:sz w:val="32"/>
          <w:szCs w:val="32"/>
        </w:rPr>
      </w:pPr>
    </w:p>
    <w:p w14:paraId="13AE345D">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440" w:lineRule="exact"/>
        <w:ind w:firstLine="280" w:firstLineChars="100"/>
        <w:textAlignment w:val="auto"/>
        <w:rPr>
          <w:rFonts w:hint="default"/>
          <w:lang w:val="en-US" w:eastAsia="zh-CN"/>
        </w:rPr>
      </w:pP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乌海市司法局办公室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202</w:t>
      </w:r>
      <w:r>
        <w:rPr>
          <w:rFonts w:hint="eastAsia" w:ascii="仿宋_GB2312" w:hAnsi="仿宋" w:eastAsia="仿宋_GB2312"/>
          <w:sz w:val="28"/>
          <w:szCs w:val="28"/>
          <w:lang w:val="en-US" w:eastAsia="zh-CN"/>
        </w:rPr>
        <w:t>5</w:t>
      </w:r>
      <w:r>
        <w:rPr>
          <w:rFonts w:hint="eastAsia" w:ascii="仿宋_GB2312" w:hAnsi="仿宋" w:eastAsia="仿宋_GB2312"/>
          <w:sz w:val="28"/>
          <w:szCs w:val="28"/>
        </w:rPr>
        <w:t>年</w:t>
      </w:r>
      <w:r>
        <w:rPr>
          <w:rFonts w:hint="eastAsia" w:ascii="仿宋_GB2312" w:hAnsi="仿宋" w:eastAsia="仿宋_GB2312"/>
          <w:sz w:val="28"/>
          <w:szCs w:val="28"/>
          <w:lang w:val="en-US" w:eastAsia="zh-CN"/>
        </w:rPr>
        <w:t>2</w:t>
      </w:r>
      <w:r>
        <w:rPr>
          <w:rFonts w:hint="eastAsia" w:ascii="仿宋_GB2312" w:hAnsi="仿宋" w:eastAsia="仿宋_GB2312"/>
          <w:sz w:val="28"/>
          <w:szCs w:val="28"/>
        </w:rPr>
        <w:t>月</w:t>
      </w:r>
      <w:r>
        <w:rPr>
          <w:rFonts w:hint="eastAsia" w:ascii="仿宋_GB2312" w:hAnsi="仿宋" w:eastAsia="仿宋_GB2312"/>
          <w:sz w:val="28"/>
          <w:szCs w:val="28"/>
          <w:lang w:val="en-US" w:eastAsia="zh-CN"/>
        </w:rPr>
        <w:t>12</w:t>
      </w:r>
      <w:r>
        <w:rPr>
          <w:rFonts w:hint="eastAsia" w:ascii="仿宋_GB2312" w:hAnsi="仿宋" w:eastAsia="仿宋_GB2312"/>
          <w:sz w:val="28"/>
          <w:szCs w:val="28"/>
        </w:rPr>
        <w:t>日印发</w:t>
      </w:r>
      <w:r>
        <w:rPr>
          <w:rFonts w:hint="eastAsia" w:ascii="仿宋_GB2312" w:hAnsi="仿宋" w:eastAsia="仿宋_GB2312"/>
          <w:sz w:val="28"/>
          <w:szCs w:val="28"/>
          <w:lang w:val="en-US" w:eastAsia="zh-CN"/>
        </w:rPr>
        <w:t xml:space="preserve"> </w:t>
      </w:r>
    </w:p>
    <w:sectPr>
      <w:headerReference r:id="rId3" w:type="default"/>
      <w:footerReference r:id="rId5" w:type="default"/>
      <w:headerReference r:id="rId4" w:type="even"/>
      <w:footerReference r:id="rId6" w:type="even"/>
      <w:pgSz w:w="11906" w:h="16838"/>
      <w:pgMar w:top="2098" w:right="1474" w:bottom="1984" w:left="1588"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8B28D">
    <w:pPr>
      <w:pStyle w:val="10"/>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9D5E4">
                          <w:pPr>
                            <w:pStyle w:val="10"/>
                            <w:rPr>
                              <w:rStyle w:val="20"/>
                              <w:sz w:val="28"/>
                              <w:szCs w:val="28"/>
                            </w:rPr>
                          </w:pPr>
                          <w:r>
                            <w:rPr>
                              <w:rStyle w:val="20"/>
                              <w:rFonts w:hint="eastAsia" w:ascii="宋体" w:hAnsi="宋体"/>
                              <w:sz w:val="28"/>
                              <w:szCs w:val="28"/>
                            </w:rPr>
                            <w:t xml:space="preserve">— </w:t>
                          </w:r>
                          <w:r>
                            <w:rPr>
                              <w:rStyle w:val="20"/>
                              <w:sz w:val="28"/>
                              <w:szCs w:val="28"/>
                            </w:rPr>
                            <w:fldChar w:fldCharType="begin"/>
                          </w:r>
                          <w:r>
                            <w:rPr>
                              <w:rStyle w:val="20"/>
                              <w:sz w:val="28"/>
                              <w:szCs w:val="28"/>
                            </w:rPr>
                            <w:instrText xml:space="preserve">PAGE  </w:instrText>
                          </w:r>
                          <w:r>
                            <w:rPr>
                              <w:rStyle w:val="20"/>
                              <w:sz w:val="28"/>
                              <w:szCs w:val="28"/>
                            </w:rPr>
                            <w:fldChar w:fldCharType="separate"/>
                          </w:r>
                          <w:r>
                            <w:rPr>
                              <w:rStyle w:val="20"/>
                              <w:sz w:val="28"/>
                              <w:szCs w:val="28"/>
                            </w:rPr>
                            <w:t>7</w:t>
                          </w:r>
                          <w:r>
                            <w:rPr>
                              <w:rStyle w:val="20"/>
                              <w:sz w:val="28"/>
                              <w:szCs w:val="28"/>
                            </w:rPr>
                            <w:fldChar w:fldCharType="end"/>
                          </w:r>
                          <w:r>
                            <w:rPr>
                              <w:rStyle w:val="20"/>
                              <w:rFonts w:hint="eastAsia"/>
                              <w:sz w:val="28"/>
                              <w:szCs w:val="28"/>
                            </w:rPr>
                            <w:t xml:space="preserve"> </w:t>
                          </w:r>
                          <w:r>
                            <w:rPr>
                              <w:rStyle w:val="20"/>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F9D5E4">
                    <w:pPr>
                      <w:pStyle w:val="10"/>
                      <w:rPr>
                        <w:rStyle w:val="20"/>
                        <w:sz w:val="28"/>
                        <w:szCs w:val="28"/>
                      </w:rPr>
                    </w:pPr>
                    <w:r>
                      <w:rPr>
                        <w:rStyle w:val="20"/>
                        <w:rFonts w:hint="eastAsia" w:ascii="宋体" w:hAnsi="宋体"/>
                        <w:sz w:val="28"/>
                        <w:szCs w:val="28"/>
                      </w:rPr>
                      <w:t xml:space="preserve">— </w:t>
                    </w:r>
                    <w:r>
                      <w:rPr>
                        <w:rStyle w:val="20"/>
                        <w:sz w:val="28"/>
                        <w:szCs w:val="28"/>
                      </w:rPr>
                      <w:fldChar w:fldCharType="begin"/>
                    </w:r>
                    <w:r>
                      <w:rPr>
                        <w:rStyle w:val="20"/>
                        <w:sz w:val="28"/>
                        <w:szCs w:val="28"/>
                      </w:rPr>
                      <w:instrText xml:space="preserve">PAGE  </w:instrText>
                    </w:r>
                    <w:r>
                      <w:rPr>
                        <w:rStyle w:val="20"/>
                        <w:sz w:val="28"/>
                        <w:szCs w:val="28"/>
                      </w:rPr>
                      <w:fldChar w:fldCharType="separate"/>
                    </w:r>
                    <w:r>
                      <w:rPr>
                        <w:rStyle w:val="20"/>
                        <w:sz w:val="28"/>
                        <w:szCs w:val="28"/>
                      </w:rPr>
                      <w:t>7</w:t>
                    </w:r>
                    <w:r>
                      <w:rPr>
                        <w:rStyle w:val="20"/>
                        <w:sz w:val="28"/>
                        <w:szCs w:val="28"/>
                      </w:rPr>
                      <w:fldChar w:fldCharType="end"/>
                    </w:r>
                    <w:r>
                      <w:rPr>
                        <w:rStyle w:val="20"/>
                        <w:rFonts w:hint="eastAsia"/>
                        <w:sz w:val="28"/>
                        <w:szCs w:val="28"/>
                      </w:rPr>
                      <w:t xml:space="preserve"> </w:t>
                    </w:r>
                    <w:r>
                      <w:rPr>
                        <w:rStyle w:val="20"/>
                        <w:rFonts w:hint="eastAsia"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1F773">
    <w:pPr>
      <w:pStyle w:val="10"/>
      <w:framePr w:wrap="around" w:vAnchor="text" w:hAnchor="page" w:x="1524" w:y="-401"/>
      <w:rPr>
        <w:rStyle w:val="20"/>
        <w:sz w:val="28"/>
        <w:szCs w:val="28"/>
      </w:rPr>
    </w:pPr>
    <w:r>
      <w:rPr>
        <w:rStyle w:val="20"/>
        <w:rFonts w:hint="eastAsia" w:ascii="宋体" w:hAnsi="宋体"/>
        <w:sz w:val="28"/>
        <w:szCs w:val="28"/>
      </w:rPr>
      <w:t xml:space="preserve">— </w:t>
    </w:r>
    <w:r>
      <w:rPr>
        <w:rStyle w:val="20"/>
        <w:sz w:val="28"/>
        <w:szCs w:val="28"/>
      </w:rPr>
      <w:fldChar w:fldCharType="begin"/>
    </w:r>
    <w:r>
      <w:rPr>
        <w:rStyle w:val="20"/>
        <w:sz w:val="28"/>
        <w:szCs w:val="28"/>
      </w:rPr>
      <w:instrText xml:space="preserve">PAGE  </w:instrText>
    </w:r>
    <w:r>
      <w:rPr>
        <w:rStyle w:val="20"/>
        <w:sz w:val="28"/>
        <w:szCs w:val="28"/>
      </w:rPr>
      <w:fldChar w:fldCharType="separate"/>
    </w:r>
    <w:r>
      <w:rPr>
        <w:rStyle w:val="20"/>
        <w:sz w:val="28"/>
        <w:szCs w:val="28"/>
      </w:rPr>
      <w:t>8</w:t>
    </w:r>
    <w:r>
      <w:rPr>
        <w:rStyle w:val="20"/>
        <w:sz w:val="28"/>
        <w:szCs w:val="28"/>
      </w:rPr>
      <w:fldChar w:fldCharType="end"/>
    </w:r>
    <w:r>
      <w:rPr>
        <w:rStyle w:val="20"/>
        <w:rFonts w:hint="eastAsia"/>
        <w:sz w:val="28"/>
        <w:szCs w:val="28"/>
      </w:rPr>
      <w:t xml:space="preserve"> </w:t>
    </w:r>
    <w:r>
      <w:rPr>
        <w:rStyle w:val="20"/>
        <w:rFonts w:hint="eastAsia" w:ascii="宋体" w:hAnsi="宋体"/>
        <w:sz w:val="28"/>
        <w:szCs w:val="28"/>
      </w:rPr>
      <w:t>—</w:t>
    </w:r>
  </w:p>
  <w:p w14:paraId="4E911AAF">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D9F3F">
    <w:pPr>
      <w:pStyle w:val="1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C8909">
    <w:pPr>
      <w:pStyle w:val="11"/>
      <w:pBdr>
        <w:bottom w:val="none" w:color="auto" w:sz="0" w:space="1"/>
      </w:pBdr>
      <w:tabs>
        <w:tab w:val="clear" w:pos="4153"/>
      </w:tabs>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5NGU3ZmE5NzVkOGQ1NzJmZDhjYjQ4MWY4ZDY2YmEifQ=="/>
  </w:docVars>
  <w:rsids>
    <w:rsidRoot w:val="00126207"/>
    <w:rsid w:val="0000281D"/>
    <w:rsid w:val="00005DA9"/>
    <w:rsid w:val="0002392D"/>
    <w:rsid w:val="00031853"/>
    <w:rsid w:val="00047037"/>
    <w:rsid w:val="00053C88"/>
    <w:rsid w:val="00055786"/>
    <w:rsid w:val="00067D07"/>
    <w:rsid w:val="00090607"/>
    <w:rsid w:val="00091F19"/>
    <w:rsid w:val="000A1957"/>
    <w:rsid w:val="000A3C10"/>
    <w:rsid w:val="000A5D33"/>
    <w:rsid w:val="000B2985"/>
    <w:rsid w:val="000B56DD"/>
    <w:rsid w:val="000C1FD2"/>
    <w:rsid w:val="000C4E87"/>
    <w:rsid w:val="000C5AC2"/>
    <w:rsid w:val="000D1E7C"/>
    <w:rsid w:val="000D5AD5"/>
    <w:rsid w:val="000D78DB"/>
    <w:rsid w:val="000E1631"/>
    <w:rsid w:val="000E365A"/>
    <w:rsid w:val="000E7356"/>
    <w:rsid w:val="000F52F7"/>
    <w:rsid w:val="000F6137"/>
    <w:rsid w:val="001007E5"/>
    <w:rsid w:val="00100E6A"/>
    <w:rsid w:val="00104106"/>
    <w:rsid w:val="00107CEA"/>
    <w:rsid w:val="00111A84"/>
    <w:rsid w:val="0011205B"/>
    <w:rsid w:val="001232CE"/>
    <w:rsid w:val="00126207"/>
    <w:rsid w:val="00127C93"/>
    <w:rsid w:val="00131891"/>
    <w:rsid w:val="001320A7"/>
    <w:rsid w:val="00132605"/>
    <w:rsid w:val="0014245F"/>
    <w:rsid w:val="00142E0A"/>
    <w:rsid w:val="00153D57"/>
    <w:rsid w:val="00156E7A"/>
    <w:rsid w:val="00163D72"/>
    <w:rsid w:val="001657FD"/>
    <w:rsid w:val="00176490"/>
    <w:rsid w:val="00183B36"/>
    <w:rsid w:val="00187056"/>
    <w:rsid w:val="00190142"/>
    <w:rsid w:val="001A03F9"/>
    <w:rsid w:val="001A21B2"/>
    <w:rsid w:val="001A3C80"/>
    <w:rsid w:val="001A4D84"/>
    <w:rsid w:val="001A4FDA"/>
    <w:rsid w:val="001A681A"/>
    <w:rsid w:val="001A6CB4"/>
    <w:rsid w:val="001B64A7"/>
    <w:rsid w:val="001B6D26"/>
    <w:rsid w:val="001C1D0E"/>
    <w:rsid w:val="001D38FE"/>
    <w:rsid w:val="001D56E7"/>
    <w:rsid w:val="001D60BB"/>
    <w:rsid w:val="001D66F8"/>
    <w:rsid w:val="001F6F96"/>
    <w:rsid w:val="00202F35"/>
    <w:rsid w:val="0020457A"/>
    <w:rsid w:val="00212933"/>
    <w:rsid w:val="002135F7"/>
    <w:rsid w:val="002228AD"/>
    <w:rsid w:val="002257A9"/>
    <w:rsid w:val="00226F16"/>
    <w:rsid w:val="002273E3"/>
    <w:rsid w:val="00227B89"/>
    <w:rsid w:val="00230A58"/>
    <w:rsid w:val="00231D2C"/>
    <w:rsid w:val="00234689"/>
    <w:rsid w:val="0025294A"/>
    <w:rsid w:val="00253E71"/>
    <w:rsid w:val="00256010"/>
    <w:rsid w:val="002573E6"/>
    <w:rsid w:val="002718CF"/>
    <w:rsid w:val="002749D8"/>
    <w:rsid w:val="00277B12"/>
    <w:rsid w:val="00281479"/>
    <w:rsid w:val="00282FF4"/>
    <w:rsid w:val="002917AD"/>
    <w:rsid w:val="0029280C"/>
    <w:rsid w:val="00297CEF"/>
    <w:rsid w:val="002B08A6"/>
    <w:rsid w:val="002B2535"/>
    <w:rsid w:val="002C2412"/>
    <w:rsid w:val="002D13D7"/>
    <w:rsid w:val="002D4953"/>
    <w:rsid w:val="002D514E"/>
    <w:rsid w:val="002D6372"/>
    <w:rsid w:val="002E4C91"/>
    <w:rsid w:val="002E5BB2"/>
    <w:rsid w:val="002F0168"/>
    <w:rsid w:val="002F188B"/>
    <w:rsid w:val="002F1A4A"/>
    <w:rsid w:val="002F2EED"/>
    <w:rsid w:val="003027CC"/>
    <w:rsid w:val="00315838"/>
    <w:rsid w:val="00315B0E"/>
    <w:rsid w:val="00316643"/>
    <w:rsid w:val="00317EFC"/>
    <w:rsid w:val="0032062A"/>
    <w:rsid w:val="00325257"/>
    <w:rsid w:val="00333694"/>
    <w:rsid w:val="00333FAE"/>
    <w:rsid w:val="003360A8"/>
    <w:rsid w:val="00340900"/>
    <w:rsid w:val="00366E6D"/>
    <w:rsid w:val="0036707E"/>
    <w:rsid w:val="003710C2"/>
    <w:rsid w:val="003715FA"/>
    <w:rsid w:val="00374A0F"/>
    <w:rsid w:val="0037514B"/>
    <w:rsid w:val="00392189"/>
    <w:rsid w:val="003A2CDA"/>
    <w:rsid w:val="003A4ED6"/>
    <w:rsid w:val="003B00CE"/>
    <w:rsid w:val="003B5D6D"/>
    <w:rsid w:val="003C3E7F"/>
    <w:rsid w:val="003C4C70"/>
    <w:rsid w:val="003C7065"/>
    <w:rsid w:val="003D34EC"/>
    <w:rsid w:val="003E0304"/>
    <w:rsid w:val="003E4481"/>
    <w:rsid w:val="003E5B22"/>
    <w:rsid w:val="003F4C65"/>
    <w:rsid w:val="003F5C59"/>
    <w:rsid w:val="00401976"/>
    <w:rsid w:val="004027FE"/>
    <w:rsid w:val="0041586E"/>
    <w:rsid w:val="0041646C"/>
    <w:rsid w:val="004165CC"/>
    <w:rsid w:val="00423F56"/>
    <w:rsid w:val="00426FCF"/>
    <w:rsid w:val="0043157D"/>
    <w:rsid w:val="004343C9"/>
    <w:rsid w:val="00434434"/>
    <w:rsid w:val="00441D05"/>
    <w:rsid w:val="004469AF"/>
    <w:rsid w:val="004555B7"/>
    <w:rsid w:val="004627D3"/>
    <w:rsid w:val="00462CC4"/>
    <w:rsid w:val="00467B87"/>
    <w:rsid w:val="00480DBB"/>
    <w:rsid w:val="004817CC"/>
    <w:rsid w:val="00482F16"/>
    <w:rsid w:val="004868D3"/>
    <w:rsid w:val="004918E7"/>
    <w:rsid w:val="004944FB"/>
    <w:rsid w:val="004967BA"/>
    <w:rsid w:val="004A38B7"/>
    <w:rsid w:val="004B1DF9"/>
    <w:rsid w:val="004B5BC3"/>
    <w:rsid w:val="004C1580"/>
    <w:rsid w:val="004C2642"/>
    <w:rsid w:val="004C7269"/>
    <w:rsid w:val="004E190F"/>
    <w:rsid w:val="004E36BA"/>
    <w:rsid w:val="004E3DF0"/>
    <w:rsid w:val="004E65AC"/>
    <w:rsid w:val="005068F6"/>
    <w:rsid w:val="0050707D"/>
    <w:rsid w:val="0051579A"/>
    <w:rsid w:val="00524B1B"/>
    <w:rsid w:val="005279F9"/>
    <w:rsid w:val="00527F7F"/>
    <w:rsid w:val="005303C9"/>
    <w:rsid w:val="00535208"/>
    <w:rsid w:val="00546BEF"/>
    <w:rsid w:val="00553D58"/>
    <w:rsid w:val="0056556E"/>
    <w:rsid w:val="00584225"/>
    <w:rsid w:val="005848D6"/>
    <w:rsid w:val="00586F47"/>
    <w:rsid w:val="0059649E"/>
    <w:rsid w:val="005B1F0A"/>
    <w:rsid w:val="005B2409"/>
    <w:rsid w:val="005C144B"/>
    <w:rsid w:val="005C4BBC"/>
    <w:rsid w:val="005D073D"/>
    <w:rsid w:val="005E3BB2"/>
    <w:rsid w:val="005F5947"/>
    <w:rsid w:val="006024E1"/>
    <w:rsid w:val="0060501B"/>
    <w:rsid w:val="00606326"/>
    <w:rsid w:val="00606948"/>
    <w:rsid w:val="0061181C"/>
    <w:rsid w:val="00617D5A"/>
    <w:rsid w:val="00625170"/>
    <w:rsid w:val="006339C3"/>
    <w:rsid w:val="00644731"/>
    <w:rsid w:val="00644DD3"/>
    <w:rsid w:val="00656903"/>
    <w:rsid w:val="00657D31"/>
    <w:rsid w:val="006733EC"/>
    <w:rsid w:val="00673904"/>
    <w:rsid w:val="006761F9"/>
    <w:rsid w:val="00684B8C"/>
    <w:rsid w:val="00692FFA"/>
    <w:rsid w:val="006963D6"/>
    <w:rsid w:val="00696520"/>
    <w:rsid w:val="006A1208"/>
    <w:rsid w:val="006A758E"/>
    <w:rsid w:val="006A7785"/>
    <w:rsid w:val="006B57AF"/>
    <w:rsid w:val="006C0A2D"/>
    <w:rsid w:val="006C5DA6"/>
    <w:rsid w:val="006D0616"/>
    <w:rsid w:val="006D10FF"/>
    <w:rsid w:val="006D4ED7"/>
    <w:rsid w:val="006D5500"/>
    <w:rsid w:val="006D7D48"/>
    <w:rsid w:val="006E046F"/>
    <w:rsid w:val="006E2BA1"/>
    <w:rsid w:val="006F01D5"/>
    <w:rsid w:val="006F1427"/>
    <w:rsid w:val="006F4B35"/>
    <w:rsid w:val="006F644A"/>
    <w:rsid w:val="0070527E"/>
    <w:rsid w:val="00705537"/>
    <w:rsid w:val="00705D64"/>
    <w:rsid w:val="00713794"/>
    <w:rsid w:val="007161A7"/>
    <w:rsid w:val="00720AD1"/>
    <w:rsid w:val="00725F91"/>
    <w:rsid w:val="00750732"/>
    <w:rsid w:val="007522EF"/>
    <w:rsid w:val="007548E7"/>
    <w:rsid w:val="00760CCA"/>
    <w:rsid w:val="00761C17"/>
    <w:rsid w:val="00767E05"/>
    <w:rsid w:val="00774B00"/>
    <w:rsid w:val="00776E1C"/>
    <w:rsid w:val="00777677"/>
    <w:rsid w:val="00780258"/>
    <w:rsid w:val="00787E78"/>
    <w:rsid w:val="007A071D"/>
    <w:rsid w:val="007A331C"/>
    <w:rsid w:val="007B2F57"/>
    <w:rsid w:val="007B4E2E"/>
    <w:rsid w:val="007C011E"/>
    <w:rsid w:val="007C0515"/>
    <w:rsid w:val="007D03BC"/>
    <w:rsid w:val="007D2FE4"/>
    <w:rsid w:val="007D3AF3"/>
    <w:rsid w:val="007E3ED5"/>
    <w:rsid w:val="007E405A"/>
    <w:rsid w:val="007E4073"/>
    <w:rsid w:val="007E61FC"/>
    <w:rsid w:val="007F4F83"/>
    <w:rsid w:val="008047E6"/>
    <w:rsid w:val="00806F05"/>
    <w:rsid w:val="0081400E"/>
    <w:rsid w:val="00815806"/>
    <w:rsid w:val="0081799A"/>
    <w:rsid w:val="00825A3E"/>
    <w:rsid w:val="00826410"/>
    <w:rsid w:val="00826D4B"/>
    <w:rsid w:val="00830CCC"/>
    <w:rsid w:val="00851422"/>
    <w:rsid w:val="00860F23"/>
    <w:rsid w:val="0087165C"/>
    <w:rsid w:val="008833C7"/>
    <w:rsid w:val="00884EC1"/>
    <w:rsid w:val="00885BEA"/>
    <w:rsid w:val="00892E44"/>
    <w:rsid w:val="00894F78"/>
    <w:rsid w:val="0089569A"/>
    <w:rsid w:val="008A1F05"/>
    <w:rsid w:val="008A35B2"/>
    <w:rsid w:val="008A4A34"/>
    <w:rsid w:val="008B1284"/>
    <w:rsid w:val="008B19C8"/>
    <w:rsid w:val="008D4EE3"/>
    <w:rsid w:val="008E5741"/>
    <w:rsid w:val="008F3F91"/>
    <w:rsid w:val="008F78D2"/>
    <w:rsid w:val="008F7C26"/>
    <w:rsid w:val="00903B0E"/>
    <w:rsid w:val="0090464C"/>
    <w:rsid w:val="009049AB"/>
    <w:rsid w:val="009132F7"/>
    <w:rsid w:val="009201D2"/>
    <w:rsid w:val="0092089D"/>
    <w:rsid w:val="0092286A"/>
    <w:rsid w:val="00922F01"/>
    <w:rsid w:val="00925CA9"/>
    <w:rsid w:val="00930EE6"/>
    <w:rsid w:val="00931B19"/>
    <w:rsid w:val="00933386"/>
    <w:rsid w:val="00936A11"/>
    <w:rsid w:val="00942F7C"/>
    <w:rsid w:val="00945B14"/>
    <w:rsid w:val="00971B7C"/>
    <w:rsid w:val="00975044"/>
    <w:rsid w:val="00976FCB"/>
    <w:rsid w:val="009808BC"/>
    <w:rsid w:val="009949A1"/>
    <w:rsid w:val="00996EA7"/>
    <w:rsid w:val="009A2225"/>
    <w:rsid w:val="009C03DC"/>
    <w:rsid w:val="009C474B"/>
    <w:rsid w:val="009C7E72"/>
    <w:rsid w:val="009D117F"/>
    <w:rsid w:val="009D1CFE"/>
    <w:rsid w:val="009E0714"/>
    <w:rsid w:val="009E1785"/>
    <w:rsid w:val="009E545D"/>
    <w:rsid w:val="009E574D"/>
    <w:rsid w:val="009E7726"/>
    <w:rsid w:val="00A069E6"/>
    <w:rsid w:val="00A10F77"/>
    <w:rsid w:val="00A12F83"/>
    <w:rsid w:val="00A15057"/>
    <w:rsid w:val="00A25CD9"/>
    <w:rsid w:val="00A35E0A"/>
    <w:rsid w:val="00A464FD"/>
    <w:rsid w:val="00A55DD8"/>
    <w:rsid w:val="00A60B3A"/>
    <w:rsid w:val="00A720AF"/>
    <w:rsid w:val="00A75E1E"/>
    <w:rsid w:val="00A86409"/>
    <w:rsid w:val="00A87B29"/>
    <w:rsid w:val="00A924C5"/>
    <w:rsid w:val="00A94912"/>
    <w:rsid w:val="00AA27C8"/>
    <w:rsid w:val="00AC2ED4"/>
    <w:rsid w:val="00AE1C7D"/>
    <w:rsid w:val="00AE64BD"/>
    <w:rsid w:val="00AF0486"/>
    <w:rsid w:val="00AF32E9"/>
    <w:rsid w:val="00B02C67"/>
    <w:rsid w:val="00B033C5"/>
    <w:rsid w:val="00B03E31"/>
    <w:rsid w:val="00B07A57"/>
    <w:rsid w:val="00B11173"/>
    <w:rsid w:val="00B20200"/>
    <w:rsid w:val="00B31483"/>
    <w:rsid w:val="00B377FC"/>
    <w:rsid w:val="00B415D3"/>
    <w:rsid w:val="00B43A0C"/>
    <w:rsid w:val="00B44E62"/>
    <w:rsid w:val="00B4643E"/>
    <w:rsid w:val="00B52597"/>
    <w:rsid w:val="00B63C20"/>
    <w:rsid w:val="00B65555"/>
    <w:rsid w:val="00B777CF"/>
    <w:rsid w:val="00B81499"/>
    <w:rsid w:val="00B82C35"/>
    <w:rsid w:val="00B86ABE"/>
    <w:rsid w:val="00B86B54"/>
    <w:rsid w:val="00B86B9A"/>
    <w:rsid w:val="00B903FB"/>
    <w:rsid w:val="00B93B33"/>
    <w:rsid w:val="00BB7E74"/>
    <w:rsid w:val="00BD48A6"/>
    <w:rsid w:val="00BD7C3B"/>
    <w:rsid w:val="00BE1DEF"/>
    <w:rsid w:val="00BE3757"/>
    <w:rsid w:val="00BE6FB3"/>
    <w:rsid w:val="00BF09BD"/>
    <w:rsid w:val="00BF5934"/>
    <w:rsid w:val="00BF689D"/>
    <w:rsid w:val="00C038B7"/>
    <w:rsid w:val="00C07804"/>
    <w:rsid w:val="00C1272F"/>
    <w:rsid w:val="00C1615B"/>
    <w:rsid w:val="00C17A47"/>
    <w:rsid w:val="00C224B1"/>
    <w:rsid w:val="00C42AA2"/>
    <w:rsid w:val="00C5032E"/>
    <w:rsid w:val="00C538BD"/>
    <w:rsid w:val="00C53F47"/>
    <w:rsid w:val="00C540B4"/>
    <w:rsid w:val="00C775CF"/>
    <w:rsid w:val="00C90855"/>
    <w:rsid w:val="00C913F9"/>
    <w:rsid w:val="00CA521D"/>
    <w:rsid w:val="00CB0ECD"/>
    <w:rsid w:val="00CD18DD"/>
    <w:rsid w:val="00CD26AB"/>
    <w:rsid w:val="00CE3D4D"/>
    <w:rsid w:val="00CE3F42"/>
    <w:rsid w:val="00CF096F"/>
    <w:rsid w:val="00CF3419"/>
    <w:rsid w:val="00CF34ED"/>
    <w:rsid w:val="00CF3748"/>
    <w:rsid w:val="00CF3F13"/>
    <w:rsid w:val="00CF5453"/>
    <w:rsid w:val="00D02592"/>
    <w:rsid w:val="00D07B9A"/>
    <w:rsid w:val="00D25D84"/>
    <w:rsid w:val="00D27EEF"/>
    <w:rsid w:val="00D30668"/>
    <w:rsid w:val="00D3374C"/>
    <w:rsid w:val="00D348E6"/>
    <w:rsid w:val="00D352B5"/>
    <w:rsid w:val="00D3531B"/>
    <w:rsid w:val="00D42FC6"/>
    <w:rsid w:val="00D50509"/>
    <w:rsid w:val="00D60EFA"/>
    <w:rsid w:val="00D63C07"/>
    <w:rsid w:val="00D72FF5"/>
    <w:rsid w:val="00D77AF6"/>
    <w:rsid w:val="00D77C9C"/>
    <w:rsid w:val="00D8332F"/>
    <w:rsid w:val="00D836B2"/>
    <w:rsid w:val="00D844BF"/>
    <w:rsid w:val="00D848BE"/>
    <w:rsid w:val="00DA09D4"/>
    <w:rsid w:val="00DA53B2"/>
    <w:rsid w:val="00DA56A5"/>
    <w:rsid w:val="00DA66D3"/>
    <w:rsid w:val="00DC35C4"/>
    <w:rsid w:val="00DC7257"/>
    <w:rsid w:val="00DC7E2D"/>
    <w:rsid w:val="00DD175A"/>
    <w:rsid w:val="00DD7953"/>
    <w:rsid w:val="00DE23A5"/>
    <w:rsid w:val="00DE45BF"/>
    <w:rsid w:val="00DE534F"/>
    <w:rsid w:val="00DF0AC4"/>
    <w:rsid w:val="00DF0B30"/>
    <w:rsid w:val="00DF1DD8"/>
    <w:rsid w:val="00DF21B1"/>
    <w:rsid w:val="00DF30DA"/>
    <w:rsid w:val="00E017C9"/>
    <w:rsid w:val="00E14096"/>
    <w:rsid w:val="00E23213"/>
    <w:rsid w:val="00E27AA2"/>
    <w:rsid w:val="00E33471"/>
    <w:rsid w:val="00E33FC0"/>
    <w:rsid w:val="00E34BDA"/>
    <w:rsid w:val="00E378CD"/>
    <w:rsid w:val="00E452B4"/>
    <w:rsid w:val="00E45EDE"/>
    <w:rsid w:val="00E467E6"/>
    <w:rsid w:val="00E468A8"/>
    <w:rsid w:val="00E50B7B"/>
    <w:rsid w:val="00E578B0"/>
    <w:rsid w:val="00E63432"/>
    <w:rsid w:val="00E768AF"/>
    <w:rsid w:val="00E8600B"/>
    <w:rsid w:val="00EA1D9B"/>
    <w:rsid w:val="00EA7228"/>
    <w:rsid w:val="00EB2E65"/>
    <w:rsid w:val="00EB33D3"/>
    <w:rsid w:val="00EB508E"/>
    <w:rsid w:val="00EB5117"/>
    <w:rsid w:val="00EB7D86"/>
    <w:rsid w:val="00EC2753"/>
    <w:rsid w:val="00EC292D"/>
    <w:rsid w:val="00EC54F4"/>
    <w:rsid w:val="00ED2653"/>
    <w:rsid w:val="00EE29C8"/>
    <w:rsid w:val="00EE3B89"/>
    <w:rsid w:val="00EE5701"/>
    <w:rsid w:val="00EE7D54"/>
    <w:rsid w:val="00EF26C7"/>
    <w:rsid w:val="00EF2D2C"/>
    <w:rsid w:val="00EF4A90"/>
    <w:rsid w:val="00EF61F3"/>
    <w:rsid w:val="00F00198"/>
    <w:rsid w:val="00F01310"/>
    <w:rsid w:val="00F1647D"/>
    <w:rsid w:val="00F205C8"/>
    <w:rsid w:val="00F236D3"/>
    <w:rsid w:val="00F32303"/>
    <w:rsid w:val="00F3439E"/>
    <w:rsid w:val="00F45135"/>
    <w:rsid w:val="00F66523"/>
    <w:rsid w:val="00F70782"/>
    <w:rsid w:val="00F76654"/>
    <w:rsid w:val="00F7792D"/>
    <w:rsid w:val="00F90EEF"/>
    <w:rsid w:val="00F96E37"/>
    <w:rsid w:val="00FA690A"/>
    <w:rsid w:val="00FB0899"/>
    <w:rsid w:val="00FB0EA4"/>
    <w:rsid w:val="00FB4226"/>
    <w:rsid w:val="00FB4FC3"/>
    <w:rsid w:val="00FF12CE"/>
    <w:rsid w:val="00FF5534"/>
    <w:rsid w:val="00FF7DCD"/>
    <w:rsid w:val="01052496"/>
    <w:rsid w:val="02896E8A"/>
    <w:rsid w:val="03962305"/>
    <w:rsid w:val="07347FFB"/>
    <w:rsid w:val="08F0070A"/>
    <w:rsid w:val="0A6568C6"/>
    <w:rsid w:val="0CAA1E4B"/>
    <w:rsid w:val="0D04187A"/>
    <w:rsid w:val="12B92386"/>
    <w:rsid w:val="13975009"/>
    <w:rsid w:val="13C33F08"/>
    <w:rsid w:val="13D115E7"/>
    <w:rsid w:val="13E96481"/>
    <w:rsid w:val="146D0C8F"/>
    <w:rsid w:val="17FB2994"/>
    <w:rsid w:val="181A5BCF"/>
    <w:rsid w:val="18B57ABA"/>
    <w:rsid w:val="1B9841AB"/>
    <w:rsid w:val="1D883485"/>
    <w:rsid w:val="1DDE2D22"/>
    <w:rsid w:val="20120475"/>
    <w:rsid w:val="226A4C31"/>
    <w:rsid w:val="240115C5"/>
    <w:rsid w:val="24063F35"/>
    <w:rsid w:val="244D0366"/>
    <w:rsid w:val="25D16ACE"/>
    <w:rsid w:val="28D41056"/>
    <w:rsid w:val="29C76C7B"/>
    <w:rsid w:val="2A5A1A2F"/>
    <w:rsid w:val="2B7D5B42"/>
    <w:rsid w:val="2E2C36E3"/>
    <w:rsid w:val="2EB55628"/>
    <w:rsid w:val="2F5F9C18"/>
    <w:rsid w:val="303B7C0D"/>
    <w:rsid w:val="30804CD3"/>
    <w:rsid w:val="30D2231F"/>
    <w:rsid w:val="31235C95"/>
    <w:rsid w:val="32A322FB"/>
    <w:rsid w:val="33884F17"/>
    <w:rsid w:val="37BF17DA"/>
    <w:rsid w:val="37FEE413"/>
    <w:rsid w:val="381940C7"/>
    <w:rsid w:val="3902576C"/>
    <w:rsid w:val="395B4E7C"/>
    <w:rsid w:val="397FF4B6"/>
    <w:rsid w:val="3BBB7E54"/>
    <w:rsid w:val="3BEBEC6B"/>
    <w:rsid w:val="3DCA0786"/>
    <w:rsid w:val="3E4F6602"/>
    <w:rsid w:val="3F8B9CC1"/>
    <w:rsid w:val="406D365C"/>
    <w:rsid w:val="41BB6E00"/>
    <w:rsid w:val="42EF5738"/>
    <w:rsid w:val="461D5993"/>
    <w:rsid w:val="482D3E87"/>
    <w:rsid w:val="4AF85E08"/>
    <w:rsid w:val="4CCA439B"/>
    <w:rsid w:val="50CF71DC"/>
    <w:rsid w:val="51D2611D"/>
    <w:rsid w:val="53EAFCC7"/>
    <w:rsid w:val="57E26410"/>
    <w:rsid w:val="57EF8A7C"/>
    <w:rsid w:val="582D4C92"/>
    <w:rsid w:val="5A5517EF"/>
    <w:rsid w:val="5A8D5E27"/>
    <w:rsid w:val="5DDC4BBB"/>
    <w:rsid w:val="5FFEA788"/>
    <w:rsid w:val="6051650D"/>
    <w:rsid w:val="60CE6D57"/>
    <w:rsid w:val="63FB1F4B"/>
    <w:rsid w:val="6618187B"/>
    <w:rsid w:val="67BB1879"/>
    <w:rsid w:val="68E136C0"/>
    <w:rsid w:val="6BFFFE57"/>
    <w:rsid w:val="6C52469B"/>
    <w:rsid w:val="6F3332FA"/>
    <w:rsid w:val="6FF58B3A"/>
    <w:rsid w:val="716B2DF9"/>
    <w:rsid w:val="71BA00AF"/>
    <w:rsid w:val="73025A6F"/>
    <w:rsid w:val="73A7E367"/>
    <w:rsid w:val="77E313B5"/>
    <w:rsid w:val="77F7C64E"/>
    <w:rsid w:val="77FB7B18"/>
    <w:rsid w:val="7B77B0A7"/>
    <w:rsid w:val="7B9FE01C"/>
    <w:rsid w:val="7BDF2AA5"/>
    <w:rsid w:val="7BEE5A3C"/>
    <w:rsid w:val="7D07F6DE"/>
    <w:rsid w:val="7D4F0328"/>
    <w:rsid w:val="7D950A87"/>
    <w:rsid w:val="7D9CC2B8"/>
    <w:rsid w:val="7E796BE5"/>
    <w:rsid w:val="7E7F8947"/>
    <w:rsid w:val="7EAB082E"/>
    <w:rsid w:val="7EAE00B6"/>
    <w:rsid w:val="7FF75E22"/>
    <w:rsid w:val="8FEE8C55"/>
    <w:rsid w:val="9DFF6253"/>
    <w:rsid w:val="AA777956"/>
    <w:rsid w:val="AAF93828"/>
    <w:rsid w:val="AF6D993C"/>
    <w:rsid w:val="BD7FD311"/>
    <w:rsid w:val="BEFF68F7"/>
    <w:rsid w:val="BF5FA67F"/>
    <w:rsid w:val="BFDB2260"/>
    <w:rsid w:val="C43B4CF2"/>
    <w:rsid w:val="C9ED38BC"/>
    <w:rsid w:val="CEFF202C"/>
    <w:rsid w:val="DA679C46"/>
    <w:rsid w:val="DCCF59B1"/>
    <w:rsid w:val="DE9E4FDB"/>
    <w:rsid w:val="DFBC915D"/>
    <w:rsid w:val="DFC7013D"/>
    <w:rsid w:val="E5E2D6E5"/>
    <w:rsid w:val="EB776983"/>
    <w:rsid w:val="ECBFE5F5"/>
    <w:rsid w:val="EDF7A10D"/>
    <w:rsid w:val="F4F9C3BC"/>
    <w:rsid w:val="F57D84F8"/>
    <w:rsid w:val="F65E4993"/>
    <w:rsid w:val="F777B792"/>
    <w:rsid w:val="F77F989A"/>
    <w:rsid w:val="F7F92A0A"/>
    <w:rsid w:val="F9278684"/>
    <w:rsid w:val="FBF51D9F"/>
    <w:rsid w:val="FBFB396D"/>
    <w:rsid w:val="FDF79837"/>
    <w:rsid w:val="FDFF5B87"/>
    <w:rsid w:val="FEB4608E"/>
    <w:rsid w:val="FFD98A10"/>
    <w:rsid w:val="FFE727EA"/>
    <w:rsid w:val="FFF54360"/>
    <w:rsid w:val="FFFD7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widowControl w:val="0"/>
      <w:spacing w:before="340" w:after="330" w:line="578" w:lineRule="auto"/>
      <w:outlineLvl w:val="0"/>
    </w:pPr>
    <w:rPr>
      <w:b/>
      <w:kern w:val="44"/>
      <w:sz w:val="44"/>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widowControl w:val="0"/>
      <w:spacing w:line="560" w:lineRule="exact"/>
      <w:ind w:firstLine="640" w:firstLineChars="200"/>
      <w:jc w:val="both"/>
    </w:pPr>
    <w:rPr>
      <w:rFonts w:ascii="楷体" w:hAnsi="楷体" w:eastAsia="楷体" w:cs="仿宋"/>
      <w:kern w:val="2"/>
      <w:sz w:val="32"/>
      <w:szCs w:val="32"/>
      <w:lang w:val="en-US" w:eastAsia="zh-CN" w:bidi="ar-SA"/>
    </w:rPr>
  </w:style>
  <w:style w:type="paragraph" w:styleId="4">
    <w:name w:val="Normal Indent"/>
    <w:basedOn w:val="1"/>
    <w:autoRedefine/>
    <w:qFormat/>
    <w:uiPriority w:val="0"/>
    <w:pPr>
      <w:ind w:firstLine="200" w:firstLineChars="200"/>
    </w:pPr>
    <w:rPr>
      <w:rFonts w:ascii="Times New Roman" w:hAnsi="Times New Roman"/>
    </w:rPr>
  </w:style>
  <w:style w:type="paragraph" w:styleId="5">
    <w:name w:val="Body Text"/>
    <w:basedOn w:val="1"/>
    <w:link w:val="31"/>
    <w:autoRedefine/>
    <w:qFormat/>
    <w:uiPriority w:val="0"/>
    <w:pPr>
      <w:spacing w:after="120"/>
    </w:pPr>
    <w:rPr>
      <w:rFonts w:eastAsia="仿宋_GB2312"/>
      <w:sz w:val="32"/>
    </w:rPr>
  </w:style>
  <w:style w:type="paragraph" w:styleId="6">
    <w:name w:val="Plain Text"/>
    <w:basedOn w:val="1"/>
    <w:link w:val="27"/>
    <w:autoRedefine/>
    <w:qFormat/>
    <w:uiPriority w:val="0"/>
    <w:rPr>
      <w:rFonts w:ascii="宋体" w:hAnsi="Courier New" w:cs="Courier New"/>
      <w:szCs w:val="21"/>
    </w:rPr>
  </w:style>
  <w:style w:type="paragraph" w:styleId="7">
    <w:name w:val="Date"/>
    <w:basedOn w:val="1"/>
    <w:next w:val="1"/>
    <w:link w:val="26"/>
    <w:autoRedefine/>
    <w:qFormat/>
    <w:uiPriority w:val="0"/>
    <w:pPr>
      <w:ind w:left="100" w:leftChars="2500"/>
    </w:pPr>
  </w:style>
  <w:style w:type="paragraph" w:styleId="8">
    <w:name w:val="Body Text Indent 2"/>
    <w:basedOn w:val="1"/>
    <w:link w:val="33"/>
    <w:autoRedefine/>
    <w:qFormat/>
    <w:uiPriority w:val="0"/>
    <w:pPr>
      <w:spacing w:after="120" w:line="480" w:lineRule="auto"/>
      <w:ind w:left="420" w:leftChars="200"/>
    </w:pPr>
  </w:style>
  <w:style w:type="paragraph" w:styleId="9">
    <w:name w:val="Balloon Text"/>
    <w:basedOn w:val="1"/>
    <w:autoRedefine/>
    <w:semiHidden/>
    <w:qFormat/>
    <w:uiPriority w:val="0"/>
    <w:rPr>
      <w:sz w:val="18"/>
      <w:szCs w:val="18"/>
    </w:rPr>
  </w:style>
  <w:style w:type="paragraph" w:styleId="10">
    <w:name w:val="footer"/>
    <w:basedOn w:val="1"/>
    <w:link w:val="36"/>
    <w:autoRedefine/>
    <w:qFormat/>
    <w:uiPriority w:val="0"/>
    <w:pPr>
      <w:tabs>
        <w:tab w:val="center" w:pos="4153"/>
        <w:tab w:val="right" w:pos="8306"/>
      </w:tabs>
      <w:snapToGrid w:val="0"/>
      <w:jc w:val="left"/>
    </w:pPr>
    <w:rPr>
      <w:sz w:val="18"/>
      <w:szCs w:val="18"/>
    </w:rPr>
  </w:style>
  <w:style w:type="paragraph" w:styleId="11">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34"/>
    <w:autoRedefine/>
    <w:unhideWhenUsed/>
    <w:qFormat/>
    <w:uiPriority w:val="99"/>
    <w:pPr>
      <w:spacing w:after="120" w:line="480" w:lineRule="auto"/>
    </w:pPr>
    <w:rPr>
      <w:rFonts w:eastAsia="仿宋_GB2312"/>
      <w:sz w:val="32"/>
    </w:rPr>
  </w:style>
  <w:style w:type="paragraph" w:styleId="1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5">
    <w:name w:val="Title"/>
    <w:basedOn w:val="1"/>
    <w:next w:val="1"/>
    <w:link w:val="41"/>
    <w:autoRedefine/>
    <w:qFormat/>
    <w:uiPriority w:val="0"/>
    <w:pPr>
      <w:spacing w:before="240" w:after="60"/>
      <w:ind w:left="640" w:leftChars="200"/>
      <w:outlineLvl w:val="0"/>
    </w:pPr>
    <w:rPr>
      <w:rFonts w:ascii="Arial" w:hAnsi="Arial" w:eastAsia="仿宋_GB2312"/>
      <w:b/>
      <w:sz w:val="32"/>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autoRedefine/>
    <w:qFormat/>
    <w:uiPriority w:val="0"/>
    <w:rPr>
      <w:b/>
    </w:rPr>
  </w:style>
  <w:style w:type="character" w:styleId="20">
    <w:name w:val="page number"/>
    <w:basedOn w:val="18"/>
    <w:autoRedefine/>
    <w:qFormat/>
    <w:uiPriority w:val="0"/>
  </w:style>
  <w:style w:type="character" w:styleId="21">
    <w:name w:val="Emphasis"/>
    <w:basedOn w:val="18"/>
    <w:autoRedefine/>
    <w:qFormat/>
    <w:uiPriority w:val="20"/>
    <w:rPr>
      <w:color w:val="CC0000"/>
    </w:rPr>
  </w:style>
  <w:style w:type="character" w:styleId="22">
    <w:name w:val="Hyperlink"/>
    <w:autoRedefine/>
    <w:qFormat/>
    <w:uiPriority w:val="0"/>
    <w:rPr>
      <w:color w:val="0000FF"/>
      <w:u w:val="single"/>
    </w:rPr>
  </w:style>
  <w:style w:type="paragraph" w:customStyle="1" w:styleId="23">
    <w:name w:val="Body Text First Indent 2"/>
    <w:basedOn w:val="24"/>
    <w:autoRedefine/>
    <w:qFormat/>
    <w:uiPriority w:val="0"/>
    <w:pPr>
      <w:widowControl w:val="0"/>
      <w:spacing w:after="120" w:afterLines="0"/>
      <w:ind w:left="420" w:leftChars="200" w:firstLine="420"/>
      <w:jc w:val="both"/>
    </w:pPr>
    <w:rPr>
      <w:rFonts w:ascii="Calibri" w:hAnsi="Calibri" w:eastAsia="宋体" w:cs="Times New Roman"/>
      <w:kern w:val="2"/>
      <w:sz w:val="21"/>
      <w:szCs w:val="22"/>
      <w:lang w:val="en-US" w:eastAsia="zh-CN" w:bidi="ar-SA"/>
    </w:rPr>
  </w:style>
  <w:style w:type="paragraph" w:customStyle="1" w:styleId="24">
    <w:name w:val="Body Text Indent1"/>
    <w:basedOn w:val="1"/>
    <w:next w:val="23"/>
    <w:autoRedefine/>
    <w:qFormat/>
    <w:uiPriority w:val="0"/>
    <w:pPr>
      <w:spacing w:after="120" w:afterLines="0"/>
      <w:ind w:left="420" w:leftChars="200"/>
    </w:pPr>
  </w:style>
  <w:style w:type="paragraph" w:customStyle="1" w:styleId="25">
    <w:name w:val="Char"/>
    <w:basedOn w:val="1"/>
    <w:autoRedefine/>
    <w:qFormat/>
    <w:uiPriority w:val="0"/>
    <w:pPr>
      <w:widowControl/>
      <w:spacing w:after="160" w:line="240" w:lineRule="exact"/>
      <w:jc w:val="left"/>
    </w:pPr>
    <w:rPr>
      <w:szCs w:val="20"/>
    </w:rPr>
  </w:style>
  <w:style w:type="character" w:customStyle="1" w:styleId="26">
    <w:name w:val="日期 Char"/>
    <w:basedOn w:val="18"/>
    <w:link w:val="7"/>
    <w:autoRedefine/>
    <w:qFormat/>
    <w:uiPriority w:val="0"/>
    <w:rPr>
      <w:kern w:val="2"/>
      <w:sz w:val="21"/>
      <w:szCs w:val="24"/>
    </w:rPr>
  </w:style>
  <w:style w:type="character" w:customStyle="1" w:styleId="27">
    <w:name w:val="纯文本 Char"/>
    <w:basedOn w:val="18"/>
    <w:link w:val="6"/>
    <w:autoRedefine/>
    <w:qFormat/>
    <w:uiPriority w:val="0"/>
    <w:rPr>
      <w:rFonts w:ascii="宋体" w:hAnsi="Courier New" w:cs="Courier New"/>
      <w:kern w:val="2"/>
      <w:sz w:val="21"/>
      <w:szCs w:val="21"/>
    </w:rPr>
  </w:style>
  <w:style w:type="paragraph" w:styleId="28">
    <w:name w:val="List Paragraph"/>
    <w:basedOn w:val="1"/>
    <w:autoRedefine/>
    <w:qFormat/>
    <w:uiPriority w:val="34"/>
    <w:pPr>
      <w:ind w:firstLine="420" w:firstLineChars="200"/>
    </w:pPr>
  </w:style>
  <w:style w:type="paragraph" w:styleId="29">
    <w:name w:val="No Spacing"/>
    <w:autoRedefine/>
    <w:qFormat/>
    <w:uiPriority w:val="1"/>
    <w:pPr>
      <w:widowControl w:val="0"/>
      <w:jc w:val="both"/>
    </w:pPr>
    <w:rPr>
      <w:rFonts w:ascii="Calibri" w:hAnsi="Calibri" w:eastAsia="宋体" w:cs="Times New Roman"/>
      <w:kern w:val="2"/>
      <w:sz w:val="21"/>
      <w:lang w:val="en-US" w:eastAsia="zh-CN" w:bidi="ar-SA"/>
    </w:rPr>
  </w:style>
  <w:style w:type="character" w:customStyle="1" w:styleId="30">
    <w:name w:val="Subtle Emphasis"/>
    <w:autoRedefine/>
    <w:qFormat/>
    <w:uiPriority w:val="19"/>
    <w:rPr>
      <w:i/>
      <w:iCs/>
      <w:color w:val="808080"/>
    </w:rPr>
  </w:style>
  <w:style w:type="character" w:customStyle="1" w:styleId="31">
    <w:name w:val="正文文本 Char"/>
    <w:basedOn w:val="18"/>
    <w:link w:val="5"/>
    <w:autoRedefine/>
    <w:qFormat/>
    <w:uiPriority w:val="0"/>
    <w:rPr>
      <w:rFonts w:eastAsia="仿宋_GB2312"/>
      <w:kern w:val="2"/>
      <w:sz w:val="32"/>
      <w:szCs w:val="24"/>
    </w:rPr>
  </w:style>
  <w:style w:type="character" w:customStyle="1" w:styleId="32">
    <w:name w:val="正文文本缩进 Char"/>
    <w:basedOn w:val="18"/>
    <w:autoRedefine/>
    <w:qFormat/>
    <w:uiPriority w:val="0"/>
    <w:rPr>
      <w:kern w:val="2"/>
      <w:sz w:val="21"/>
      <w:szCs w:val="24"/>
    </w:rPr>
  </w:style>
  <w:style w:type="character" w:customStyle="1" w:styleId="33">
    <w:name w:val="正文文本缩进 2 Char"/>
    <w:basedOn w:val="18"/>
    <w:link w:val="8"/>
    <w:autoRedefine/>
    <w:qFormat/>
    <w:uiPriority w:val="0"/>
    <w:rPr>
      <w:kern w:val="2"/>
      <w:sz w:val="21"/>
      <w:szCs w:val="24"/>
    </w:rPr>
  </w:style>
  <w:style w:type="character" w:customStyle="1" w:styleId="34">
    <w:name w:val="正文文本 2 Char"/>
    <w:basedOn w:val="18"/>
    <w:link w:val="12"/>
    <w:autoRedefine/>
    <w:qFormat/>
    <w:uiPriority w:val="99"/>
    <w:rPr>
      <w:rFonts w:eastAsia="仿宋_GB2312"/>
      <w:kern w:val="2"/>
      <w:sz w:val="32"/>
      <w:szCs w:val="24"/>
    </w:rPr>
  </w:style>
  <w:style w:type="character" w:customStyle="1" w:styleId="35">
    <w:name w:val="Intense Emphasis"/>
    <w:autoRedefine/>
    <w:qFormat/>
    <w:uiPriority w:val="21"/>
    <w:rPr>
      <w:b/>
      <w:bCs/>
      <w:i/>
      <w:iCs/>
      <w:color w:val="4F81BD"/>
    </w:rPr>
  </w:style>
  <w:style w:type="character" w:customStyle="1" w:styleId="36">
    <w:name w:val="页脚 Char"/>
    <w:link w:val="10"/>
    <w:autoRedefine/>
    <w:qFormat/>
    <w:uiPriority w:val="0"/>
    <w:rPr>
      <w:kern w:val="2"/>
      <w:sz w:val="18"/>
      <w:szCs w:val="18"/>
    </w:rPr>
  </w:style>
  <w:style w:type="character" w:customStyle="1" w:styleId="37">
    <w:name w:val="页眉 Char"/>
    <w:link w:val="11"/>
    <w:autoRedefine/>
    <w:qFormat/>
    <w:uiPriority w:val="0"/>
    <w:rPr>
      <w:kern w:val="2"/>
      <w:sz w:val="18"/>
      <w:szCs w:val="18"/>
    </w:rPr>
  </w:style>
  <w:style w:type="character" w:customStyle="1" w:styleId="38">
    <w:name w:val="NormalCharacter"/>
    <w:autoRedefine/>
    <w:qFormat/>
    <w:uiPriority w:val="0"/>
  </w:style>
  <w:style w:type="character" w:customStyle="1" w:styleId="39">
    <w:name w:val="Body text|1_"/>
    <w:link w:val="40"/>
    <w:autoRedefine/>
    <w:qFormat/>
    <w:uiPriority w:val="0"/>
    <w:rPr>
      <w:rFonts w:ascii="宋体" w:hAnsi="宋体" w:cs="宋体"/>
      <w:color w:val="000000"/>
      <w:sz w:val="30"/>
      <w:szCs w:val="30"/>
      <w:lang w:val="zh-TW" w:eastAsia="zh-TW" w:bidi="zh-TW"/>
    </w:rPr>
  </w:style>
  <w:style w:type="paragraph" w:customStyle="1" w:styleId="40">
    <w:name w:val="Body text|1"/>
    <w:basedOn w:val="1"/>
    <w:link w:val="39"/>
    <w:autoRedefine/>
    <w:qFormat/>
    <w:uiPriority w:val="0"/>
    <w:pPr>
      <w:spacing w:line="410" w:lineRule="auto"/>
      <w:ind w:firstLine="400"/>
      <w:jc w:val="left"/>
    </w:pPr>
    <w:rPr>
      <w:rFonts w:ascii="宋体" w:hAnsi="宋体" w:cs="宋体"/>
      <w:color w:val="000000"/>
      <w:kern w:val="0"/>
      <w:sz w:val="30"/>
      <w:szCs w:val="30"/>
      <w:lang w:val="zh-TW" w:eastAsia="zh-TW" w:bidi="zh-TW"/>
    </w:rPr>
  </w:style>
  <w:style w:type="character" w:customStyle="1" w:styleId="41">
    <w:name w:val="标题 Char"/>
    <w:basedOn w:val="18"/>
    <w:link w:val="15"/>
    <w:autoRedefine/>
    <w:qFormat/>
    <w:uiPriority w:val="0"/>
    <w:rPr>
      <w:rFonts w:ascii="Arial" w:hAnsi="Arial" w:eastAsia="仿宋_GB2312"/>
      <w:b/>
      <w:kern w:val="2"/>
      <w:sz w:val="32"/>
      <w:szCs w:val="24"/>
    </w:rPr>
  </w:style>
  <w:style w:type="paragraph" w:customStyle="1" w:styleId="42">
    <w:name w:val="Normal Indent"/>
    <w:basedOn w:val="1"/>
    <w:autoRedefine/>
    <w:qFormat/>
    <w:uiPriority w:val="0"/>
    <w:pPr>
      <w:ind w:firstLine="200" w:firstLineChars="200"/>
    </w:pPr>
    <w:rPr>
      <w:rFonts w:ascii="Times New Roman" w:hAnsi="Times New Roman" w:eastAsia="宋体" w:cs="Times New Roman"/>
      <w:sz w:val="21"/>
      <w:szCs w:val="22"/>
    </w:rPr>
  </w:style>
  <w:style w:type="paragraph" w:customStyle="1" w:styleId="43">
    <w:name w:val="f-article-title-tiny"/>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4">
    <w:name w:val="_Style 1"/>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10</Pages>
  <Words>5684</Words>
  <Characters>5767</Characters>
  <Lines>18</Lines>
  <Paragraphs>5</Paragraphs>
  <TotalTime>8</TotalTime>
  <ScaleCrop>false</ScaleCrop>
  <LinksUpToDate>false</LinksUpToDate>
  <CharactersWithSpaces>5838</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2012-02-23T08:49:00Z</dcterms:created>
  <dc:creator>hao</dc:creator>
  <cp:lastModifiedBy>乌海市司法局</cp:lastModifiedBy>
  <cp:lastPrinted>2025-02-12T19:09:00Z</cp:lastPrinted>
  <dcterms:modified xsi:type="dcterms:W3CDTF">2025-02-12T11:14:28Z</dcterms:modified>
  <dc:title>乌海市司法局办公室关于认真开展重点调研活动的通知</dc:title>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DB3C962B582349FFBE70EA85D10C04B4</vt:lpwstr>
  </property>
</Properties>
</file>