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9C21" w14:textId="77777777" w:rsidR="009112DC" w:rsidRDefault="009112DC" w:rsidP="009112DC">
      <w:pPr>
        <w:pStyle w:val="a7"/>
        <w:tabs>
          <w:tab w:val="left" w:pos="1342"/>
        </w:tabs>
        <w:outlineLvl w:val="0"/>
        <w:rPr>
          <w:rFonts w:ascii="Times New Roman" w:eastAsia="方正小标宋简体" w:hAnsi="Times New Roman" w:cs="Times New Roman"/>
          <w:w w:val="105"/>
          <w:sz w:val="44"/>
          <w:szCs w:val="44"/>
          <w:lang w:eastAsia="zh-CN"/>
        </w:rPr>
      </w:pPr>
      <w:r>
        <w:rPr>
          <w:rFonts w:ascii="Times New Roman" w:eastAsia="黑体" w:hAnsi="Times New Roman" w:cs="Times New Roman"/>
          <w:w w:val="105"/>
          <w:sz w:val="32"/>
          <w:szCs w:val="32"/>
          <w:lang w:eastAsia="zh-CN"/>
        </w:rPr>
        <w:t>附件</w:t>
      </w:r>
      <w:r>
        <w:rPr>
          <w:rFonts w:ascii="Times New Roman" w:eastAsia="黑体" w:hAnsi="Times New Roman" w:cs="Times New Roman"/>
          <w:w w:val="105"/>
          <w:sz w:val="32"/>
          <w:szCs w:val="32"/>
          <w:lang w:eastAsia="zh-CN"/>
        </w:rPr>
        <w:t>3</w:t>
      </w:r>
    </w:p>
    <w:p w14:paraId="413E726F" w14:textId="77777777" w:rsidR="009112DC" w:rsidRDefault="009112DC" w:rsidP="009112DC">
      <w:pPr>
        <w:pStyle w:val="a7"/>
        <w:tabs>
          <w:tab w:val="left" w:pos="1342"/>
        </w:tabs>
        <w:ind w:left="135"/>
        <w:jc w:val="center"/>
        <w:rPr>
          <w:rFonts w:ascii="Times New Roman" w:hAnsi="Times New Roman" w:cs="Times New Roman"/>
          <w:sz w:val="44"/>
          <w:szCs w:val="44"/>
          <w:lang w:eastAsia="zh-CN"/>
        </w:rPr>
      </w:pPr>
      <w:bookmarkStart w:id="0" w:name="_Toc1970612738_WPSOffice_Level2"/>
      <w:bookmarkStart w:id="1" w:name="_Toc1070668966_WPSOffice_Level1"/>
      <w:bookmarkStart w:id="2" w:name="_Toc2099551043_WPSOffice_Level1"/>
      <w:bookmarkStart w:id="3" w:name="_Toc134934364_WPSOffice_Level2"/>
      <w:bookmarkStart w:id="4" w:name="_Toc1518018713_WPSOffice_Level1"/>
      <w:r>
        <w:rPr>
          <w:rFonts w:ascii="Times New Roman" w:eastAsia="方正小标宋简体" w:hAnsi="Times New Roman" w:cs="Times New Roman"/>
          <w:w w:val="105"/>
          <w:sz w:val="44"/>
          <w:szCs w:val="44"/>
          <w:lang w:eastAsia="zh-CN"/>
        </w:rPr>
        <w:t>防</w:t>
      </w:r>
      <w:r>
        <w:rPr>
          <w:rFonts w:ascii="Times New Roman" w:eastAsia="方正小标宋简体" w:hAnsi="Times New Roman" w:cs="Times New Roman"/>
          <w:spacing w:val="-10"/>
          <w:w w:val="110"/>
          <w:sz w:val="44"/>
          <w:szCs w:val="44"/>
          <w:lang w:eastAsia="zh-CN"/>
        </w:rPr>
        <w:t>汛</w:t>
      </w:r>
      <w:r>
        <w:rPr>
          <w:rFonts w:ascii="Times New Roman" w:eastAsia="方正小标宋简体" w:hAnsi="Times New Roman" w:cs="Times New Roman"/>
          <w:sz w:val="44"/>
          <w:szCs w:val="44"/>
          <w:lang w:eastAsia="zh-CN"/>
        </w:rPr>
        <w:t>（</w:t>
      </w:r>
      <w:r>
        <w:rPr>
          <w:rFonts w:ascii="Times New Roman" w:eastAsia="方正小标宋简体" w:hAnsi="Times New Roman" w:cs="Times New Roman"/>
          <w:w w:val="110"/>
          <w:sz w:val="44"/>
          <w:szCs w:val="44"/>
          <w:lang w:eastAsia="zh-CN"/>
        </w:rPr>
        <w:t>防凌</w:t>
      </w:r>
      <w:r>
        <w:rPr>
          <w:rFonts w:ascii="Times New Roman" w:eastAsia="方正小标宋简体" w:hAnsi="Times New Roman" w:cs="Times New Roman"/>
          <w:sz w:val="44"/>
          <w:szCs w:val="44"/>
          <w:lang w:eastAsia="zh-CN"/>
        </w:rPr>
        <w:t>）</w:t>
      </w:r>
      <w:r>
        <w:rPr>
          <w:rFonts w:ascii="Times New Roman" w:eastAsia="方正小标宋简体" w:hAnsi="Times New Roman" w:cs="Times New Roman"/>
          <w:w w:val="110"/>
          <w:sz w:val="44"/>
          <w:szCs w:val="44"/>
          <w:lang w:eastAsia="zh-CN"/>
        </w:rPr>
        <w:t>应急响应措施</w:t>
      </w:r>
      <w:r>
        <w:rPr>
          <w:rFonts w:ascii="Times New Roman" w:eastAsia="方正小标宋简体" w:hAnsi="Times New Roman" w:cs="Times New Roman"/>
          <w:spacing w:val="-10"/>
          <w:w w:val="110"/>
          <w:sz w:val="44"/>
          <w:szCs w:val="44"/>
          <w:lang w:eastAsia="zh-CN"/>
        </w:rPr>
        <w:t>表</w:t>
      </w:r>
      <w:bookmarkEnd w:id="0"/>
      <w:bookmarkEnd w:id="1"/>
      <w:bookmarkEnd w:id="2"/>
      <w:bookmarkEnd w:id="3"/>
      <w:bookmarkEnd w:id="4"/>
    </w:p>
    <w:p w14:paraId="13B8DB01" w14:textId="77777777" w:rsidR="009112DC" w:rsidRDefault="009112DC" w:rsidP="009112DC">
      <w:pPr>
        <w:pStyle w:val="a7"/>
        <w:rPr>
          <w:rFonts w:ascii="Times New Roman" w:hAnsi="Times New Roman" w:cs="Times New Roman"/>
          <w:sz w:val="10"/>
          <w:lang w:eastAsia="zh-CN"/>
        </w:rPr>
      </w:pPr>
    </w:p>
    <w:tbl>
      <w:tblPr>
        <w:tblW w:w="14445" w:type="dxa"/>
        <w:tblInd w:w="-6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1249"/>
        <w:gridCol w:w="2763"/>
        <w:gridCol w:w="3276"/>
        <w:gridCol w:w="3565"/>
        <w:gridCol w:w="3592"/>
      </w:tblGrid>
      <w:tr w:rsidR="009112DC" w14:paraId="3CA78B13" w14:textId="77777777" w:rsidTr="00917A6A">
        <w:trPr>
          <w:trHeight w:val="484"/>
          <w:tblHeader/>
        </w:trPr>
        <w:tc>
          <w:tcPr>
            <w:tcW w:w="1249" w:type="dxa"/>
            <w:tcBorders>
              <w:bottom w:val="single" w:sz="4" w:space="0" w:color="231F20"/>
              <w:right w:val="single" w:sz="4" w:space="0" w:color="231F20"/>
            </w:tcBorders>
          </w:tcPr>
          <w:p w14:paraId="35B65E33" w14:textId="77777777" w:rsidR="009112DC" w:rsidRDefault="009112DC" w:rsidP="00917A6A">
            <w:pPr>
              <w:pStyle w:val="TableParagraph"/>
              <w:widowControl w:val="0"/>
              <w:spacing w:line="360" w:lineRule="exact"/>
              <w:jc w:val="center"/>
              <w:rPr>
                <w:rFonts w:ascii="黑体" w:eastAsia="黑体" w:hAnsi="黑体" w:cs="黑体" w:hint="eastAsia"/>
              </w:rPr>
            </w:pPr>
            <w:r>
              <w:rPr>
                <w:rFonts w:ascii="黑体" w:eastAsia="黑体" w:hAnsi="黑体" w:cs="黑体" w:hint="eastAsia"/>
              </w:rPr>
              <w:t>判别对象</w:t>
            </w:r>
          </w:p>
        </w:tc>
        <w:tc>
          <w:tcPr>
            <w:tcW w:w="2763" w:type="dxa"/>
            <w:tcBorders>
              <w:left w:val="single" w:sz="4" w:space="0" w:color="231F20"/>
              <w:bottom w:val="single" w:sz="4" w:space="0" w:color="231F20"/>
              <w:right w:val="single" w:sz="4" w:space="0" w:color="231F20"/>
            </w:tcBorders>
          </w:tcPr>
          <w:p w14:paraId="3048A425" w14:textId="77777777" w:rsidR="009112DC" w:rsidRDefault="009112DC" w:rsidP="00917A6A">
            <w:pPr>
              <w:pStyle w:val="TableParagraph"/>
              <w:widowControl w:val="0"/>
              <w:spacing w:line="360" w:lineRule="exact"/>
              <w:ind w:left="1050" w:hangingChars="500" w:hanging="1050"/>
              <w:jc w:val="center"/>
              <w:rPr>
                <w:rFonts w:ascii="黑体" w:eastAsia="黑体" w:hAnsi="黑体" w:cs="黑体" w:hint="eastAsia"/>
              </w:rPr>
            </w:pPr>
            <w:r>
              <w:rPr>
                <w:rFonts w:ascii="黑体" w:eastAsia="黑体" w:hAnsi="黑体" w:cs="黑体" w:hint="eastAsia"/>
              </w:rPr>
              <w:t>四级应急响应</w:t>
            </w:r>
          </w:p>
        </w:tc>
        <w:tc>
          <w:tcPr>
            <w:tcW w:w="3276" w:type="dxa"/>
            <w:tcBorders>
              <w:left w:val="single" w:sz="4" w:space="0" w:color="231F20"/>
              <w:bottom w:val="single" w:sz="4" w:space="0" w:color="231F20"/>
              <w:right w:val="single" w:sz="4" w:space="0" w:color="231F20"/>
            </w:tcBorders>
          </w:tcPr>
          <w:p w14:paraId="6DCDDC35" w14:textId="77777777" w:rsidR="009112DC" w:rsidRDefault="009112DC" w:rsidP="00917A6A">
            <w:pPr>
              <w:pStyle w:val="TableParagraph"/>
              <w:widowControl w:val="0"/>
              <w:spacing w:line="360" w:lineRule="exact"/>
              <w:ind w:hanging="10"/>
              <w:jc w:val="center"/>
              <w:rPr>
                <w:rFonts w:ascii="黑体" w:eastAsia="黑体" w:hAnsi="黑体" w:cs="黑体" w:hint="eastAsia"/>
              </w:rPr>
            </w:pPr>
            <w:r>
              <w:rPr>
                <w:rFonts w:ascii="黑体" w:eastAsia="黑体" w:hAnsi="黑体" w:cs="黑体" w:hint="eastAsia"/>
              </w:rPr>
              <w:t>三级应急响应</w:t>
            </w:r>
          </w:p>
        </w:tc>
        <w:tc>
          <w:tcPr>
            <w:tcW w:w="3565" w:type="dxa"/>
            <w:tcBorders>
              <w:left w:val="single" w:sz="4" w:space="0" w:color="231F20"/>
              <w:bottom w:val="single" w:sz="4" w:space="0" w:color="231F20"/>
              <w:right w:val="single" w:sz="4" w:space="0" w:color="231F20"/>
            </w:tcBorders>
          </w:tcPr>
          <w:p w14:paraId="0D85C303" w14:textId="77777777" w:rsidR="009112DC" w:rsidRDefault="009112DC" w:rsidP="00917A6A">
            <w:pPr>
              <w:pStyle w:val="TableParagraph"/>
              <w:widowControl w:val="0"/>
              <w:spacing w:line="360" w:lineRule="exact"/>
              <w:ind w:left="1762" w:hangingChars="839" w:hanging="1762"/>
              <w:jc w:val="center"/>
              <w:rPr>
                <w:rFonts w:ascii="黑体" w:eastAsia="黑体" w:hAnsi="黑体" w:cs="黑体" w:hint="eastAsia"/>
              </w:rPr>
            </w:pPr>
            <w:r>
              <w:rPr>
                <w:rFonts w:ascii="黑体" w:eastAsia="黑体" w:hAnsi="黑体" w:cs="黑体" w:hint="eastAsia"/>
              </w:rPr>
              <w:t>二级应急响应</w:t>
            </w:r>
          </w:p>
        </w:tc>
        <w:tc>
          <w:tcPr>
            <w:tcW w:w="3592" w:type="dxa"/>
            <w:tcBorders>
              <w:left w:val="single" w:sz="4" w:space="0" w:color="231F20"/>
              <w:bottom w:val="single" w:sz="4" w:space="0" w:color="231F20"/>
            </w:tcBorders>
          </w:tcPr>
          <w:p w14:paraId="5F96F0FA" w14:textId="77777777" w:rsidR="009112DC" w:rsidRDefault="009112DC" w:rsidP="00917A6A">
            <w:pPr>
              <w:pStyle w:val="TableParagraph"/>
              <w:widowControl w:val="0"/>
              <w:spacing w:line="360" w:lineRule="exact"/>
              <w:ind w:left="1523" w:hangingChars="725" w:hanging="1523"/>
              <w:jc w:val="center"/>
              <w:rPr>
                <w:rFonts w:ascii="黑体" w:eastAsia="黑体" w:hAnsi="黑体" w:cs="黑体" w:hint="eastAsia"/>
              </w:rPr>
            </w:pPr>
            <w:r>
              <w:rPr>
                <w:rFonts w:ascii="黑体" w:eastAsia="黑体" w:hAnsi="黑体" w:cs="黑体" w:hint="eastAsia"/>
              </w:rPr>
              <w:t>一级应急响应</w:t>
            </w:r>
          </w:p>
        </w:tc>
      </w:tr>
      <w:tr w:rsidR="009112DC" w14:paraId="473A3AA7" w14:textId="77777777" w:rsidTr="00917A6A">
        <w:trPr>
          <w:trHeight w:val="6725"/>
        </w:trPr>
        <w:tc>
          <w:tcPr>
            <w:tcW w:w="1249" w:type="dxa"/>
            <w:tcBorders>
              <w:top w:val="single" w:sz="4" w:space="0" w:color="231F20"/>
              <w:bottom w:val="single" w:sz="4" w:space="0" w:color="231F20"/>
              <w:right w:val="single" w:sz="4" w:space="0" w:color="231F20"/>
            </w:tcBorders>
            <w:vAlign w:val="center"/>
          </w:tcPr>
          <w:p w14:paraId="028F3318"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启动程序</w:t>
            </w:r>
          </w:p>
        </w:tc>
        <w:tc>
          <w:tcPr>
            <w:tcW w:w="2763" w:type="dxa"/>
            <w:tcBorders>
              <w:top w:val="single" w:sz="4" w:space="0" w:color="231F20"/>
              <w:left w:val="single" w:sz="4" w:space="0" w:color="231F20"/>
              <w:bottom w:val="single" w:sz="4" w:space="0" w:color="231F20"/>
              <w:right w:val="single" w:sz="4" w:space="0" w:color="231F20"/>
            </w:tcBorders>
            <w:vAlign w:val="center"/>
          </w:tcPr>
          <w:p w14:paraId="4AA7D55E"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汛办提出启动四级应急响应建议，由市防汛办副主任审核，报防汛办主任批准。遇紧急情况，由市防汛办副主任决定。启动应急响应的决定由市防汛办通知指挥部领导及各成员单位，并将有关情况报市委、市政府和自治区防汛办，视情况向公众发布。</w:t>
            </w:r>
          </w:p>
        </w:tc>
        <w:tc>
          <w:tcPr>
            <w:tcW w:w="3276" w:type="dxa"/>
            <w:tcBorders>
              <w:top w:val="single" w:sz="4" w:space="0" w:color="231F20"/>
              <w:left w:val="single" w:sz="4" w:space="0" w:color="231F20"/>
              <w:bottom w:val="single" w:sz="4" w:space="0" w:color="231F20"/>
              <w:right w:val="single" w:sz="4" w:space="0" w:color="231F20"/>
            </w:tcBorders>
            <w:vAlign w:val="center"/>
          </w:tcPr>
          <w:p w14:paraId="23B15317"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汛办提出启动三级应急响应建议，由防汛办主任审核后，报副总指挥批准。遇紧急情况，由市防汛办主任决定。启动应急响应的决定由市防汛办通知指挥部领导及各成员单位，并将情况上报市委、市政府和自治区防汛办，视情况向公众发布。</w:t>
            </w:r>
          </w:p>
        </w:tc>
        <w:tc>
          <w:tcPr>
            <w:tcW w:w="3565" w:type="dxa"/>
            <w:tcBorders>
              <w:top w:val="single" w:sz="4" w:space="0" w:color="231F20"/>
              <w:left w:val="single" w:sz="4" w:space="0" w:color="231F20"/>
              <w:bottom w:val="single" w:sz="4" w:space="0" w:color="231F20"/>
              <w:right w:val="single" w:sz="4" w:space="0" w:color="231F20"/>
            </w:tcBorders>
            <w:vAlign w:val="center"/>
          </w:tcPr>
          <w:p w14:paraId="64CD5EF6"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汛办提出启动二级应急响应建议，由指挥部副总指挥审核后，报常务副总指挥批准。遇紧急情况，由副总指挥决定。启动应急响应的决定由市防汛办通知指挥部领导及各成员单位，并将有关情况报市委、政府和自治区防汛办，及时向公众发布。</w:t>
            </w:r>
          </w:p>
        </w:tc>
        <w:tc>
          <w:tcPr>
            <w:tcW w:w="3592" w:type="dxa"/>
            <w:tcBorders>
              <w:top w:val="single" w:sz="4" w:space="0" w:color="231F20"/>
              <w:left w:val="single" w:sz="4" w:space="0" w:color="231F20"/>
              <w:bottom w:val="single" w:sz="4" w:space="0" w:color="231F20"/>
            </w:tcBorders>
            <w:vAlign w:val="center"/>
          </w:tcPr>
          <w:p w14:paraId="35C0F9C1"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汛办提出启动一级应急响应建议，由常务副总指挥审核后，报总指挥批准，遇紧急情况，由常务副总指挥直接决定。启动应急响应的决定由市防汛办通知指挥部领导及各成员单位，并上报市委、市政府，自治区防指和黄河防总，同时向公众发布。</w:t>
            </w:r>
          </w:p>
        </w:tc>
      </w:tr>
      <w:tr w:rsidR="009112DC" w14:paraId="04CB0090" w14:textId="77777777" w:rsidTr="00917A6A">
        <w:trPr>
          <w:trHeight w:val="7910"/>
        </w:trPr>
        <w:tc>
          <w:tcPr>
            <w:tcW w:w="1249" w:type="dxa"/>
            <w:tcBorders>
              <w:top w:val="single" w:sz="4" w:space="0" w:color="231F20"/>
              <w:right w:val="single" w:sz="4" w:space="0" w:color="231F20"/>
            </w:tcBorders>
            <w:vAlign w:val="center"/>
          </w:tcPr>
          <w:p w14:paraId="1FE8F4D5" w14:textId="77777777" w:rsidR="009112DC" w:rsidRDefault="009112DC" w:rsidP="00917A6A">
            <w:pPr>
              <w:pStyle w:val="TableParagraph"/>
              <w:widowControl w:val="0"/>
              <w:kinsoku/>
              <w:adjustRightInd/>
              <w:snapToGrid/>
              <w:spacing w:line="4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前期部署及应急处置</w:t>
            </w:r>
          </w:p>
        </w:tc>
        <w:tc>
          <w:tcPr>
            <w:tcW w:w="2763" w:type="dxa"/>
            <w:tcBorders>
              <w:top w:val="single" w:sz="4" w:space="0" w:color="231F20"/>
              <w:left w:val="single" w:sz="4" w:space="0" w:color="231F20"/>
              <w:right w:val="single" w:sz="4" w:space="0" w:color="231F20"/>
            </w:tcBorders>
            <w:vAlign w:val="center"/>
          </w:tcPr>
          <w:p w14:paraId="470552E4" w14:textId="77777777" w:rsidR="009112DC" w:rsidRDefault="009112DC" w:rsidP="00917A6A">
            <w:pPr>
              <w:pStyle w:val="TableParagraph"/>
              <w:widowControl w:val="0"/>
              <w:kinsoku/>
              <w:adjustRightInd/>
              <w:snapToGrid/>
              <w:spacing w:line="4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市防汛办副主任主持会商，作出相应工作安排。市防汛办加强对防汛抗旱工作的组织协调，及时将情况上报市委、市政府并通报市防指各成员单位。</w:t>
            </w:r>
          </w:p>
        </w:tc>
        <w:tc>
          <w:tcPr>
            <w:tcW w:w="3276" w:type="dxa"/>
            <w:tcBorders>
              <w:top w:val="single" w:sz="4" w:space="0" w:color="231F20"/>
              <w:left w:val="single" w:sz="4" w:space="0" w:color="231F20"/>
              <w:right w:val="single" w:sz="4" w:space="0" w:color="231F20"/>
            </w:tcBorders>
            <w:vAlign w:val="center"/>
          </w:tcPr>
          <w:p w14:paraId="3249C18E" w14:textId="77777777" w:rsidR="009112DC" w:rsidRDefault="009112DC" w:rsidP="00917A6A">
            <w:pPr>
              <w:pStyle w:val="TableParagraph"/>
              <w:widowControl w:val="0"/>
              <w:kinsoku/>
              <w:adjustRightInd/>
              <w:snapToGrid/>
              <w:spacing w:line="400" w:lineRule="exact"/>
              <w:jc w:val="both"/>
              <w:textAlignment w:val="auto"/>
              <w:rPr>
                <w:rFonts w:ascii="Times New Roman" w:eastAsia="仿宋_GB2312" w:hAnsi="Times New Roman" w:cs="Times New Roman"/>
              </w:rPr>
            </w:pPr>
            <w:r>
              <w:rPr>
                <w:rFonts w:ascii="仿宋_GB2312" w:eastAsia="仿宋_GB2312" w:hAnsi="仿宋_GB2312" w:cs="仿宋_GB2312" w:hint="eastAsia"/>
              </w:rPr>
              <w:t>市防指副总指挥主持会商，做出相应工作部署，全力组织开展抢险救援，决定是否采取停课、停工、停业等措施，副总指挥坐镇指挥应急处置工作，市防指集中办公。市防汛办加强对防汛抗旱工作的组织协调，及时将情况上报市委、市政府并通报市防指各成员单位。</w:t>
            </w:r>
          </w:p>
        </w:tc>
        <w:tc>
          <w:tcPr>
            <w:tcW w:w="3565" w:type="dxa"/>
            <w:tcBorders>
              <w:top w:val="single" w:sz="4" w:space="0" w:color="231F20"/>
              <w:left w:val="single" w:sz="4" w:space="0" w:color="231F20"/>
              <w:right w:val="single" w:sz="4" w:space="0" w:color="231F20"/>
            </w:tcBorders>
            <w:vAlign w:val="center"/>
          </w:tcPr>
          <w:p w14:paraId="52933E6D"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指常务副总指挥主持会商，市防指成员单位派人员参加，做出相应工作部署。常务副总指挥坐镇指挥应急处置工作，市防指成员部门集中办公，采取停课、停工、停业等措施，全面做好社会管控。如因黄河洪水或者凌汛启动应急响应，停止沿岸受威胁区一切社会活动，决定是否大规模转移群众。请求自治区派出工作组现场指导抢险救援工作，根据需要向自治区防指请调资金和物资支持。市防汛办加强对防汛抗旱工作的组织协调，及时将情况上报市委、市政府。</w:t>
            </w:r>
          </w:p>
          <w:p w14:paraId="75CEAD44" w14:textId="77777777" w:rsidR="009112DC" w:rsidRDefault="009112DC" w:rsidP="00917A6A">
            <w:pPr>
              <w:pStyle w:val="TableParagraph"/>
              <w:widowControl w:val="0"/>
              <w:kinsoku/>
              <w:adjustRightInd/>
              <w:snapToGrid/>
              <w:spacing w:line="300" w:lineRule="exact"/>
              <w:jc w:val="both"/>
              <w:textAlignment w:val="auto"/>
              <w:rPr>
                <w:rFonts w:ascii="Times New Roman" w:eastAsia="仿宋_GB2312" w:hAnsi="Times New Roman" w:cs="Times New Roman"/>
              </w:rPr>
            </w:pPr>
            <w:r>
              <w:rPr>
                <w:rFonts w:ascii="Times New Roman" w:eastAsia="仿宋_GB2312" w:hAnsi="Times New Roman" w:cs="Times New Roman"/>
              </w:rPr>
              <w:t>受常务副总指挥委派，副总指挥按照各自分工，现场组织开展防洪排涝、交通管制、社会管控、处置险情、调拨物资、转移安置受灾群众等工作。重点处置山洪威胁区转移避险、千里山水库泄洪，受灾严重的学校、镇</w:t>
            </w:r>
            <w:r>
              <w:rPr>
                <w:rFonts w:ascii="Times New Roman" w:eastAsia="仿宋_GB2312" w:hAnsi="Times New Roman" w:cs="Times New Roman" w:hint="eastAsia"/>
              </w:rPr>
              <w:t>（</w:t>
            </w:r>
            <w:r>
              <w:rPr>
                <w:rFonts w:ascii="Times New Roman" w:eastAsia="仿宋_GB2312" w:hAnsi="Times New Roman" w:cs="Times New Roman"/>
              </w:rPr>
              <w:t>街道</w:t>
            </w:r>
            <w:r>
              <w:rPr>
                <w:rFonts w:ascii="Times New Roman" w:eastAsia="仿宋_GB2312" w:hAnsi="Times New Roman" w:cs="Times New Roman" w:hint="eastAsia"/>
              </w:rPr>
              <w:t>）</w:t>
            </w:r>
            <w:r>
              <w:rPr>
                <w:rFonts w:ascii="Times New Roman" w:eastAsia="仿宋_GB2312" w:hAnsi="Times New Roman" w:cs="Times New Roman"/>
              </w:rPr>
              <w:t>、安置点等灾情，全力组织做好交通、电力、通信、供水、水利等基础设施抢修保通工作，加强次生衍生灾害防范和排查等。做好受灾群众和抢险救援队伍的安抚、慰问，以及群众安置、生活保障、疫情防控等工作。</w:t>
            </w:r>
          </w:p>
        </w:tc>
        <w:tc>
          <w:tcPr>
            <w:tcW w:w="3592" w:type="dxa"/>
            <w:tcBorders>
              <w:top w:val="single" w:sz="4" w:space="0" w:color="231F20"/>
              <w:left w:val="single" w:sz="4" w:space="0" w:color="231F20"/>
              <w:bottom w:val="single" w:sz="4" w:space="0" w:color="231F20"/>
            </w:tcBorders>
            <w:vAlign w:val="center"/>
          </w:tcPr>
          <w:p w14:paraId="14DA0975" w14:textId="77777777" w:rsidR="009112DC" w:rsidRDefault="009112DC" w:rsidP="00917A6A">
            <w:pPr>
              <w:pStyle w:val="TableParagraph"/>
              <w:widowControl w:val="0"/>
              <w:kinsoku/>
              <w:adjustRightInd/>
              <w:snapToGrid/>
              <w:spacing w:line="28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指总指挥主持会商，市防指成员单位参加，做出防汛抗旱应急工作部署，总指挥坐镇指挥应急处置工作，防指各部门集中办公，采取停课、停工、停业等措施，全面做好社会管控。如因黄河洪水或者凌汛启动应急响应，停止沿岸受威胁区一切社会活动，决定是否大规模转移群众。提请自治区防指现场指挥调度，向自治区防指请调资金和物资支持，市政府根据需要按照相关程序向自治区申请解放军部队支援；市防汛办加强对防汛抗旱工作的组织协调，并将情况上报市委、市政府，自治区防指和黄河防总。根据需要报经市委主要领导同意，宣布进入紧急防汛期。</w:t>
            </w:r>
          </w:p>
          <w:p w14:paraId="0BA99BCF" w14:textId="77777777" w:rsidR="009112DC" w:rsidRDefault="009112DC" w:rsidP="00917A6A">
            <w:pPr>
              <w:pStyle w:val="TableParagraph"/>
              <w:widowControl w:val="0"/>
              <w:kinsoku/>
              <w:adjustRightInd/>
              <w:snapToGrid/>
              <w:spacing w:line="280" w:lineRule="exact"/>
              <w:jc w:val="both"/>
              <w:textAlignment w:val="auto"/>
              <w:rPr>
                <w:rFonts w:ascii="Times New Roman" w:eastAsia="仿宋_GB2312" w:hAnsi="Times New Roman" w:cs="Times New Roman"/>
              </w:rPr>
            </w:pPr>
            <w:r>
              <w:rPr>
                <w:rFonts w:ascii="Times New Roman" w:eastAsia="仿宋_GB2312" w:hAnsi="Times New Roman" w:cs="Times New Roman"/>
              </w:rPr>
              <w:t>受总指挥委派，副总指挥按照各自分工，现场组织开展防洪排涝、交通管制、社会管控，处置险情、调拨物资、转移安置受灾群众等工作。重点处置山洪威胁区转移避险、千里山水库泄洪，受灾严重的学校、镇办、安置点等灾情，全力组织做好交通、电力、通信、供水、水利等基础设施抢修保通工作，加强次生衍生灾害防范和排查等工作。做好受灾群众和抢险救援队伍的安抚、慰问及群众安置、生活保障、疫情防控等工作。</w:t>
            </w:r>
          </w:p>
        </w:tc>
      </w:tr>
      <w:tr w:rsidR="009112DC" w14:paraId="4CA9A9DF" w14:textId="77777777" w:rsidTr="00917A6A">
        <w:trPr>
          <w:trHeight w:val="4580"/>
        </w:trPr>
        <w:tc>
          <w:tcPr>
            <w:tcW w:w="1249" w:type="dxa"/>
            <w:tcBorders>
              <w:top w:val="single" w:sz="4" w:space="0" w:color="231F20"/>
              <w:bottom w:val="single" w:sz="4" w:space="0" w:color="231F20"/>
              <w:right w:val="single" w:sz="4" w:space="0" w:color="231F20"/>
            </w:tcBorders>
            <w:vAlign w:val="center"/>
          </w:tcPr>
          <w:p w14:paraId="7AE135CD"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监测预警信息调度通报</w:t>
            </w:r>
          </w:p>
        </w:tc>
        <w:tc>
          <w:tcPr>
            <w:tcW w:w="2763" w:type="dxa"/>
            <w:tcBorders>
              <w:top w:val="single" w:sz="4" w:space="0" w:color="231F20"/>
              <w:left w:val="single" w:sz="4" w:space="0" w:color="231F20"/>
              <w:bottom w:val="single" w:sz="4" w:space="0" w:color="231F20"/>
              <w:right w:val="single" w:sz="4" w:space="0" w:color="231F20"/>
            </w:tcBorders>
            <w:vAlign w:val="center"/>
          </w:tcPr>
          <w:p w14:paraId="2CDA0118"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市气象局滚动报送每</w:t>
            </w:r>
            <w:r>
              <w:rPr>
                <w:rFonts w:ascii="Times New Roman" w:eastAsia="仿宋_GB2312" w:hAnsi="Times New Roman" w:cs="Times New Roman"/>
              </w:rPr>
              <w:t>1</w:t>
            </w:r>
            <w:r>
              <w:rPr>
                <w:rFonts w:ascii="Times New Roman" w:eastAsia="仿宋_GB2312" w:hAnsi="Times New Roman" w:cs="Times New Roman"/>
              </w:rPr>
              <w:t>小时报告降雨实况及天气预报结果，当监测分析天气条件有较明显变化时，随时更新预报。市水务局每</w:t>
            </w:r>
            <w:r>
              <w:rPr>
                <w:rFonts w:ascii="Times New Roman" w:eastAsia="仿宋_GB2312" w:hAnsi="Times New Roman" w:cs="Times New Roman"/>
              </w:rPr>
              <w:t>6</w:t>
            </w:r>
            <w:r>
              <w:rPr>
                <w:rFonts w:ascii="Times New Roman" w:eastAsia="仿宋_GB2312" w:hAnsi="Times New Roman" w:cs="Times New Roman"/>
              </w:rPr>
              <w:t>小时报告一次水情，根据洪水发展过程，开展洪水预报并及时滚动预报。受灾地区每日</w:t>
            </w:r>
            <w:r>
              <w:rPr>
                <w:rFonts w:ascii="Times New Roman" w:eastAsia="仿宋_GB2312" w:hAnsi="Times New Roman" w:cs="Times New Roman"/>
              </w:rPr>
              <w:t>12</w:t>
            </w:r>
            <w:r>
              <w:rPr>
                <w:rFonts w:ascii="Times New Roman" w:eastAsia="仿宋_GB2312" w:hAnsi="Times New Roman" w:cs="Times New Roman"/>
              </w:rPr>
              <w:t>时前报告事件进展及工作动态，突发灾情、险情及时报告。遇特殊情况随时报送。</w:t>
            </w:r>
          </w:p>
        </w:tc>
        <w:tc>
          <w:tcPr>
            <w:tcW w:w="3276" w:type="dxa"/>
            <w:tcBorders>
              <w:top w:val="single" w:sz="4" w:space="0" w:color="231F20"/>
              <w:left w:val="single" w:sz="4" w:space="0" w:color="231F20"/>
              <w:bottom w:val="single" w:sz="4" w:space="0" w:color="231F20"/>
              <w:right w:val="single" w:sz="4" w:space="0" w:color="231F20"/>
            </w:tcBorders>
            <w:vAlign w:val="center"/>
          </w:tcPr>
          <w:p w14:paraId="4268C6DE"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市气象局滚动报送每</w:t>
            </w:r>
            <w:r>
              <w:rPr>
                <w:rFonts w:ascii="Times New Roman" w:eastAsia="仿宋_GB2312" w:hAnsi="Times New Roman" w:cs="Times New Roman"/>
              </w:rPr>
              <w:t>1</w:t>
            </w:r>
            <w:r>
              <w:rPr>
                <w:rFonts w:ascii="Times New Roman" w:eastAsia="仿宋_GB2312" w:hAnsi="Times New Roman" w:cs="Times New Roman"/>
              </w:rPr>
              <w:t>小时报告降雨实况和天气预报，当监测分析天气条件有较明显变化时，随时更新预报。市水务局每</w:t>
            </w:r>
            <w:r>
              <w:rPr>
                <w:rFonts w:ascii="Times New Roman" w:eastAsia="仿宋_GB2312" w:hAnsi="Times New Roman" w:cs="Times New Roman"/>
              </w:rPr>
              <w:t>3</w:t>
            </w:r>
            <w:r>
              <w:rPr>
                <w:rFonts w:ascii="Times New Roman" w:eastAsia="仿宋_GB2312" w:hAnsi="Times New Roman" w:cs="Times New Roman"/>
              </w:rPr>
              <w:t>小时报告一次水情，根据洪水发展过程，开展洪水预报并及时滚动预报。受灾地区每日</w:t>
            </w:r>
            <w:r>
              <w:rPr>
                <w:rFonts w:ascii="Times New Roman" w:eastAsia="仿宋_GB2312" w:hAnsi="Times New Roman" w:cs="Times New Roman"/>
              </w:rPr>
              <w:t>12</w:t>
            </w:r>
            <w:r>
              <w:rPr>
                <w:rFonts w:ascii="Times New Roman" w:eastAsia="仿宋_GB2312" w:hAnsi="Times New Roman" w:cs="Times New Roman"/>
              </w:rPr>
              <w:t>时前报告事件进展及工作动态，</w:t>
            </w:r>
            <w:r>
              <w:rPr>
                <w:rFonts w:ascii="Times New Roman" w:eastAsia="仿宋_GB2312" w:hAnsi="Times New Roman" w:cs="Times New Roman"/>
              </w:rPr>
              <w:t xml:space="preserve"> </w:t>
            </w:r>
            <w:r>
              <w:rPr>
                <w:rFonts w:ascii="Times New Roman" w:eastAsia="仿宋_GB2312" w:hAnsi="Times New Roman" w:cs="Times New Roman"/>
              </w:rPr>
              <w:t>突发灾情、险情及时报告。遇特殊情况随时报送。</w:t>
            </w:r>
          </w:p>
        </w:tc>
        <w:tc>
          <w:tcPr>
            <w:tcW w:w="3565" w:type="dxa"/>
            <w:tcBorders>
              <w:top w:val="single" w:sz="4" w:space="0" w:color="231F20"/>
              <w:left w:val="single" w:sz="4" w:space="0" w:color="231F20"/>
              <w:bottom w:val="single" w:sz="4" w:space="0" w:color="231F20"/>
              <w:right w:val="single" w:sz="4" w:space="0" w:color="231F20"/>
            </w:tcBorders>
            <w:vAlign w:val="center"/>
          </w:tcPr>
          <w:p w14:paraId="48A2019F"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市气象局滚动报送每</w:t>
            </w:r>
            <w:r>
              <w:rPr>
                <w:rFonts w:ascii="Times New Roman" w:eastAsia="仿宋_GB2312" w:hAnsi="Times New Roman" w:cs="Times New Roman"/>
              </w:rPr>
              <w:t>1</w:t>
            </w:r>
            <w:r>
              <w:rPr>
                <w:rFonts w:ascii="Times New Roman" w:eastAsia="仿宋_GB2312" w:hAnsi="Times New Roman" w:cs="Times New Roman"/>
              </w:rPr>
              <w:t>小时降雨实况及天气预报，当监测分析天气条件有较明显变化时，随时更新报送雨情监测和预报。市水务局每</w:t>
            </w:r>
            <w:r>
              <w:rPr>
                <w:rFonts w:ascii="Times New Roman" w:eastAsia="仿宋_GB2312" w:hAnsi="Times New Roman" w:cs="Times New Roman"/>
              </w:rPr>
              <w:t>1</w:t>
            </w:r>
            <w:r>
              <w:rPr>
                <w:rFonts w:ascii="Times New Roman" w:eastAsia="仿宋_GB2312" w:hAnsi="Times New Roman" w:cs="Times New Roman"/>
              </w:rPr>
              <w:t>小时报告一次水情，根据洪水发展过程，开展洪水预报并及时滚动预报。受灾地区每日</w:t>
            </w:r>
            <w:r>
              <w:rPr>
                <w:rFonts w:ascii="Times New Roman" w:eastAsia="仿宋_GB2312" w:hAnsi="Times New Roman" w:cs="Times New Roman"/>
              </w:rPr>
              <w:t>12</w:t>
            </w:r>
            <w:r>
              <w:rPr>
                <w:rFonts w:ascii="Times New Roman" w:eastAsia="仿宋_GB2312" w:hAnsi="Times New Roman" w:cs="Times New Roman"/>
              </w:rPr>
              <w:t>时前报告事件进展及工作动态，突发灾情、险情及时报告。遇特殊情况随时报送。</w:t>
            </w:r>
          </w:p>
        </w:tc>
        <w:tc>
          <w:tcPr>
            <w:tcW w:w="3592" w:type="dxa"/>
            <w:tcBorders>
              <w:top w:val="single" w:sz="4" w:space="0" w:color="231F20"/>
              <w:left w:val="single" w:sz="4" w:space="0" w:color="231F20"/>
              <w:bottom w:val="single" w:sz="4" w:space="0" w:color="231F20"/>
            </w:tcBorders>
            <w:vAlign w:val="center"/>
          </w:tcPr>
          <w:p w14:paraId="0A251BD6"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市气象局滚动报送每</w:t>
            </w:r>
            <w:r>
              <w:rPr>
                <w:rFonts w:ascii="Times New Roman" w:eastAsia="仿宋_GB2312" w:hAnsi="Times New Roman" w:cs="Times New Roman"/>
              </w:rPr>
              <w:t>1</w:t>
            </w:r>
            <w:r>
              <w:rPr>
                <w:rFonts w:ascii="Times New Roman" w:eastAsia="仿宋_GB2312" w:hAnsi="Times New Roman" w:cs="Times New Roman"/>
              </w:rPr>
              <w:t>小时降雨实况及天气预报，并根据监测情况实时更新预报，遇到突发情况随时报告。市水务局根据洪水发展过程，开展洪水预报并及时滚动预报。受灾地区每日</w:t>
            </w:r>
            <w:r>
              <w:rPr>
                <w:rFonts w:ascii="Times New Roman" w:eastAsia="仿宋_GB2312" w:hAnsi="Times New Roman" w:cs="Times New Roman"/>
              </w:rPr>
              <w:t>12</w:t>
            </w:r>
            <w:r>
              <w:rPr>
                <w:rFonts w:ascii="Times New Roman" w:eastAsia="仿宋_GB2312" w:hAnsi="Times New Roman" w:cs="Times New Roman"/>
              </w:rPr>
              <w:t>时前报告事件进展及工作动态，突发灾情、险情随时报告。遇特殊情况随时报送。</w:t>
            </w:r>
          </w:p>
        </w:tc>
      </w:tr>
      <w:tr w:rsidR="009112DC" w14:paraId="0454EE5B" w14:textId="77777777" w:rsidTr="00917A6A">
        <w:trPr>
          <w:trHeight w:val="3000"/>
        </w:trPr>
        <w:tc>
          <w:tcPr>
            <w:tcW w:w="1249" w:type="dxa"/>
            <w:tcBorders>
              <w:top w:val="single" w:sz="4" w:space="0" w:color="231F20"/>
              <w:right w:val="single" w:sz="4" w:space="0" w:color="231F20"/>
            </w:tcBorders>
            <w:vAlign w:val="center"/>
          </w:tcPr>
          <w:p w14:paraId="23E6B4A4" w14:textId="77777777" w:rsidR="009112DC" w:rsidRDefault="009112DC" w:rsidP="00917A6A">
            <w:pPr>
              <w:pStyle w:val="TableParagraph"/>
              <w:widowControl w:val="0"/>
              <w:kinsoku/>
              <w:adjustRightInd/>
              <w:snapToGrid/>
              <w:spacing w:line="36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综合信息报送</w:t>
            </w:r>
          </w:p>
        </w:tc>
        <w:tc>
          <w:tcPr>
            <w:tcW w:w="2763" w:type="dxa"/>
            <w:tcBorders>
              <w:top w:val="single" w:sz="4" w:space="0" w:color="231F20"/>
              <w:left w:val="single" w:sz="4" w:space="0" w:color="231F20"/>
              <w:right w:val="single" w:sz="4" w:space="0" w:color="231F20"/>
            </w:tcBorders>
            <w:vAlign w:val="center"/>
          </w:tcPr>
          <w:p w14:paraId="64ACCF3E"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市防汛办将情况上报自治区应急厅、市委和市政府，市防汛办将情况向上级防指报送，同时向各区防指及市防指成员单位通报有关汛情灾情情况。</w:t>
            </w:r>
          </w:p>
        </w:tc>
        <w:tc>
          <w:tcPr>
            <w:tcW w:w="3276" w:type="dxa"/>
            <w:tcBorders>
              <w:top w:val="single" w:sz="4" w:space="0" w:color="231F20"/>
              <w:left w:val="single" w:sz="4" w:space="0" w:color="231F20"/>
              <w:right w:val="single" w:sz="4" w:space="0" w:color="231F20"/>
            </w:tcBorders>
            <w:vAlign w:val="center"/>
          </w:tcPr>
          <w:p w14:paraId="54976B4B"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市防汛办将情况上报自治区应急厅、市委和市政府，市防汛办将情况向上级防指报送，同时向各区防指及市防指成员单位通报有关汛情灾情情况。</w:t>
            </w:r>
          </w:p>
        </w:tc>
        <w:tc>
          <w:tcPr>
            <w:tcW w:w="3565" w:type="dxa"/>
            <w:tcBorders>
              <w:top w:val="single" w:sz="4" w:space="0" w:color="231F20"/>
              <w:left w:val="single" w:sz="4" w:space="0" w:color="231F20"/>
              <w:right w:val="single" w:sz="4" w:space="0" w:color="231F20"/>
            </w:tcBorders>
            <w:vAlign w:val="center"/>
          </w:tcPr>
          <w:p w14:paraId="4FFBFA0E"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市防汛办将情况上报自治区应急厅、市委和市政府，市防汛办将情况向上级防指报送，同时向各区防指及市防指成员单位通报有关汛情灾情情况。</w:t>
            </w:r>
          </w:p>
        </w:tc>
        <w:tc>
          <w:tcPr>
            <w:tcW w:w="3592" w:type="dxa"/>
            <w:tcBorders>
              <w:top w:val="single" w:sz="4" w:space="0" w:color="231F20"/>
              <w:left w:val="single" w:sz="4" w:space="0" w:color="231F20"/>
            </w:tcBorders>
            <w:vAlign w:val="center"/>
          </w:tcPr>
          <w:p w14:paraId="10B4D4D0" w14:textId="77777777" w:rsidR="009112DC" w:rsidRDefault="009112DC" w:rsidP="00917A6A">
            <w:pPr>
              <w:pStyle w:val="TableParagraph"/>
              <w:widowControl w:val="0"/>
              <w:kinsoku/>
              <w:adjustRightInd/>
              <w:snapToGrid/>
              <w:spacing w:line="360" w:lineRule="exact"/>
              <w:jc w:val="both"/>
              <w:textAlignment w:val="auto"/>
              <w:rPr>
                <w:rFonts w:ascii="Times New Roman" w:eastAsia="仿宋_GB2312" w:hAnsi="Times New Roman" w:cs="Times New Roman"/>
              </w:rPr>
            </w:pPr>
            <w:r>
              <w:rPr>
                <w:rFonts w:ascii="Times New Roman" w:eastAsia="仿宋_GB2312" w:hAnsi="Times New Roman" w:cs="Times New Roman"/>
              </w:rPr>
              <w:t>市防汛办将情况上报自治区应急厅、市委和市政府，市防汛办将情况向上级防指报送，同时向各区防指及市防指成员单位通报有关汛情灾情情况。</w:t>
            </w:r>
          </w:p>
        </w:tc>
      </w:tr>
    </w:tbl>
    <w:p w14:paraId="0A17A738" w14:textId="77777777" w:rsidR="009112DC" w:rsidRDefault="009112DC" w:rsidP="009112DC">
      <w:pPr>
        <w:pStyle w:val="TableParagraph"/>
        <w:spacing w:line="340" w:lineRule="exact"/>
        <w:rPr>
          <w:rFonts w:ascii="黑体" w:eastAsia="黑体" w:hAnsi="黑体" w:cs="黑体" w:hint="eastAsia"/>
          <w:spacing w:val="15"/>
          <w:sz w:val="28"/>
          <w:szCs w:val="28"/>
        </w:rPr>
      </w:pPr>
      <w:r>
        <w:rPr>
          <w:rFonts w:ascii="黑体" w:eastAsia="黑体" w:hAnsi="黑体" w:cs="黑体" w:hint="eastAsia"/>
          <w:spacing w:val="15"/>
          <w:sz w:val="28"/>
          <w:szCs w:val="28"/>
        </w:rPr>
        <w:br w:type="page"/>
      </w:r>
    </w:p>
    <w:tbl>
      <w:tblPr>
        <w:tblW w:w="14671"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000" w:firstRow="0" w:lastRow="0" w:firstColumn="0" w:lastColumn="0" w:noHBand="0" w:noVBand="0"/>
      </w:tblPr>
      <w:tblGrid>
        <w:gridCol w:w="1174"/>
        <w:gridCol w:w="3260"/>
        <w:gridCol w:w="3908"/>
        <w:gridCol w:w="3171"/>
        <w:gridCol w:w="3158"/>
      </w:tblGrid>
      <w:tr w:rsidR="009112DC" w14:paraId="4A43892F" w14:textId="77777777" w:rsidTr="00917A6A">
        <w:trPr>
          <w:trHeight w:val="372"/>
          <w:tblHeader/>
          <w:jc w:val="center"/>
        </w:trPr>
        <w:tc>
          <w:tcPr>
            <w:tcW w:w="1174" w:type="dxa"/>
            <w:tcBorders>
              <w:bottom w:val="single" w:sz="4" w:space="0" w:color="231F20"/>
              <w:right w:val="single" w:sz="4" w:space="0" w:color="231F20"/>
            </w:tcBorders>
          </w:tcPr>
          <w:p w14:paraId="4876C96A" w14:textId="77777777" w:rsidR="009112DC" w:rsidRDefault="009112DC" w:rsidP="00917A6A">
            <w:pPr>
              <w:pStyle w:val="TableParagraph"/>
              <w:spacing w:line="340" w:lineRule="exact"/>
              <w:jc w:val="center"/>
              <w:rPr>
                <w:rFonts w:ascii="黑体" w:eastAsia="黑体" w:hAnsi="黑体" w:cs="黑体" w:hint="eastAsia"/>
              </w:rPr>
            </w:pPr>
            <w:r>
              <w:rPr>
                <w:rFonts w:ascii="黑体" w:eastAsia="黑体" w:hAnsi="黑体" w:cs="黑体" w:hint="eastAsia"/>
                <w:spacing w:val="15"/>
              </w:rPr>
              <w:lastRenderedPageBreak/>
              <w:t>判别对</w:t>
            </w:r>
            <w:r>
              <w:rPr>
                <w:rFonts w:ascii="黑体" w:eastAsia="黑体" w:hAnsi="黑体" w:cs="黑体" w:hint="eastAsia"/>
                <w:spacing w:val="-10"/>
              </w:rPr>
              <w:t>象</w:t>
            </w:r>
          </w:p>
        </w:tc>
        <w:tc>
          <w:tcPr>
            <w:tcW w:w="3260" w:type="dxa"/>
            <w:tcBorders>
              <w:left w:val="single" w:sz="4" w:space="0" w:color="231F20"/>
              <w:bottom w:val="single" w:sz="4" w:space="0" w:color="231F20"/>
              <w:right w:val="single" w:sz="4" w:space="0" w:color="231F20"/>
            </w:tcBorders>
          </w:tcPr>
          <w:p w14:paraId="1019B895" w14:textId="77777777" w:rsidR="009112DC" w:rsidRDefault="009112DC" w:rsidP="00917A6A">
            <w:pPr>
              <w:pStyle w:val="TableParagraph"/>
              <w:spacing w:line="340" w:lineRule="exact"/>
              <w:jc w:val="center"/>
              <w:rPr>
                <w:rFonts w:ascii="黑体" w:eastAsia="黑体" w:hAnsi="黑体" w:cs="黑体" w:hint="eastAsia"/>
              </w:rPr>
            </w:pPr>
            <w:r>
              <w:rPr>
                <w:rFonts w:ascii="黑体" w:eastAsia="黑体" w:hAnsi="黑体" w:cs="黑体" w:hint="eastAsia"/>
                <w:spacing w:val="44"/>
              </w:rPr>
              <w:t>四级应急响</w:t>
            </w:r>
            <w:r>
              <w:rPr>
                <w:rFonts w:ascii="黑体" w:eastAsia="黑体" w:hAnsi="黑体" w:cs="黑体" w:hint="eastAsia"/>
                <w:spacing w:val="-10"/>
              </w:rPr>
              <w:t>应</w:t>
            </w:r>
          </w:p>
        </w:tc>
        <w:tc>
          <w:tcPr>
            <w:tcW w:w="3908" w:type="dxa"/>
            <w:tcBorders>
              <w:left w:val="single" w:sz="4" w:space="0" w:color="231F20"/>
              <w:bottom w:val="single" w:sz="4" w:space="0" w:color="231F20"/>
              <w:right w:val="single" w:sz="4" w:space="0" w:color="231F20"/>
            </w:tcBorders>
          </w:tcPr>
          <w:p w14:paraId="45CAF423" w14:textId="77777777" w:rsidR="009112DC" w:rsidRDefault="009112DC" w:rsidP="00917A6A">
            <w:pPr>
              <w:pStyle w:val="TableParagraph"/>
              <w:spacing w:line="340" w:lineRule="exact"/>
              <w:jc w:val="center"/>
              <w:rPr>
                <w:rFonts w:ascii="黑体" w:eastAsia="黑体" w:hAnsi="黑体" w:cs="黑体" w:hint="eastAsia"/>
              </w:rPr>
            </w:pPr>
            <w:r>
              <w:rPr>
                <w:rFonts w:ascii="黑体" w:eastAsia="黑体" w:hAnsi="黑体" w:cs="黑体" w:hint="eastAsia"/>
                <w:spacing w:val="44"/>
              </w:rPr>
              <w:t>三级应急响</w:t>
            </w:r>
            <w:r>
              <w:rPr>
                <w:rFonts w:ascii="黑体" w:eastAsia="黑体" w:hAnsi="黑体" w:cs="黑体" w:hint="eastAsia"/>
                <w:spacing w:val="-10"/>
              </w:rPr>
              <w:t>应</w:t>
            </w:r>
          </w:p>
        </w:tc>
        <w:tc>
          <w:tcPr>
            <w:tcW w:w="3171" w:type="dxa"/>
            <w:tcBorders>
              <w:left w:val="single" w:sz="4" w:space="0" w:color="231F20"/>
              <w:bottom w:val="single" w:sz="4" w:space="0" w:color="231F20"/>
              <w:right w:val="single" w:sz="4" w:space="0" w:color="231F20"/>
            </w:tcBorders>
          </w:tcPr>
          <w:p w14:paraId="1604AB8C" w14:textId="77777777" w:rsidR="009112DC" w:rsidRDefault="009112DC" w:rsidP="00917A6A">
            <w:pPr>
              <w:pStyle w:val="TableParagraph"/>
              <w:spacing w:line="340" w:lineRule="exact"/>
              <w:jc w:val="center"/>
              <w:rPr>
                <w:rFonts w:ascii="黑体" w:eastAsia="黑体" w:hAnsi="黑体" w:cs="黑体" w:hint="eastAsia"/>
              </w:rPr>
            </w:pPr>
            <w:r>
              <w:rPr>
                <w:rFonts w:ascii="黑体" w:eastAsia="黑体" w:hAnsi="黑体" w:cs="黑体" w:hint="eastAsia"/>
                <w:spacing w:val="44"/>
              </w:rPr>
              <w:t>二级应急响</w:t>
            </w:r>
            <w:r>
              <w:rPr>
                <w:rFonts w:ascii="黑体" w:eastAsia="黑体" w:hAnsi="黑体" w:cs="黑体" w:hint="eastAsia"/>
                <w:spacing w:val="-10"/>
              </w:rPr>
              <w:t>应</w:t>
            </w:r>
          </w:p>
        </w:tc>
        <w:tc>
          <w:tcPr>
            <w:tcW w:w="3158" w:type="dxa"/>
            <w:tcBorders>
              <w:left w:val="single" w:sz="4" w:space="0" w:color="231F20"/>
              <w:bottom w:val="single" w:sz="4" w:space="0" w:color="231F20"/>
            </w:tcBorders>
          </w:tcPr>
          <w:p w14:paraId="4C35E29D" w14:textId="77777777" w:rsidR="009112DC" w:rsidRDefault="009112DC" w:rsidP="00917A6A">
            <w:pPr>
              <w:pStyle w:val="TableParagraph"/>
              <w:spacing w:line="340" w:lineRule="exact"/>
              <w:jc w:val="center"/>
              <w:rPr>
                <w:rFonts w:ascii="黑体" w:eastAsia="黑体" w:hAnsi="黑体" w:cs="黑体" w:hint="eastAsia"/>
              </w:rPr>
            </w:pPr>
            <w:r>
              <w:rPr>
                <w:rFonts w:ascii="黑体" w:eastAsia="黑体" w:hAnsi="黑体" w:cs="黑体" w:hint="eastAsia"/>
                <w:spacing w:val="44"/>
              </w:rPr>
              <w:t>一级应急响</w:t>
            </w:r>
            <w:r>
              <w:rPr>
                <w:rFonts w:ascii="黑体" w:eastAsia="黑体" w:hAnsi="黑体" w:cs="黑体" w:hint="eastAsia"/>
                <w:spacing w:val="-10"/>
              </w:rPr>
              <w:t>应</w:t>
            </w:r>
          </w:p>
        </w:tc>
      </w:tr>
      <w:tr w:rsidR="009112DC" w14:paraId="21AC6968" w14:textId="77777777" w:rsidTr="00917A6A">
        <w:trPr>
          <w:trHeight w:val="7878"/>
          <w:jc w:val="center"/>
        </w:trPr>
        <w:tc>
          <w:tcPr>
            <w:tcW w:w="1174" w:type="dxa"/>
            <w:tcBorders>
              <w:top w:val="single" w:sz="4" w:space="0" w:color="231F20"/>
              <w:right w:val="single" w:sz="4" w:space="0" w:color="231F20"/>
            </w:tcBorders>
            <w:vAlign w:val="center"/>
          </w:tcPr>
          <w:p w14:paraId="1BF2BC59" w14:textId="77777777" w:rsidR="009112DC" w:rsidRDefault="009112DC" w:rsidP="00917A6A">
            <w:pPr>
              <w:pStyle w:val="TableParagraph"/>
              <w:spacing w:line="280" w:lineRule="exact"/>
              <w:jc w:val="both"/>
              <w:rPr>
                <w:rFonts w:ascii="仿宋_GB2312" w:eastAsia="仿宋_GB2312" w:hAnsi="仿宋_GB2312" w:cs="仿宋_GB2312" w:hint="eastAsia"/>
              </w:rPr>
            </w:pPr>
            <w:r>
              <w:rPr>
                <w:rFonts w:ascii="仿宋_GB2312" w:eastAsia="仿宋_GB2312" w:hAnsi="仿宋_GB2312" w:cs="仿宋_GB2312" w:hint="eastAsia"/>
                <w:spacing w:val="11"/>
              </w:rPr>
              <w:t>行业部</w:t>
            </w:r>
            <w:r>
              <w:rPr>
                <w:rFonts w:ascii="仿宋_GB2312" w:eastAsia="仿宋_GB2312" w:hAnsi="仿宋_GB2312" w:cs="仿宋_GB2312" w:hint="eastAsia"/>
              </w:rPr>
              <w:t>门</w:t>
            </w:r>
            <w:r>
              <w:rPr>
                <w:rFonts w:ascii="仿宋_GB2312" w:eastAsia="仿宋_GB2312" w:hAnsi="仿宋_GB2312" w:cs="仿宋_GB2312" w:hint="eastAsia"/>
                <w:spacing w:val="15"/>
              </w:rPr>
              <w:t>响应措</w:t>
            </w:r>
            <w:r>
              <w:rPr>
                <w:rFonts w:ascii="仿宋_GB2312" w:eastAsia="仿宋_GB2312" w:hAnsi="仿宋_GB2312" w:cs="仿宋_GB2312" w:hint="eastAsia"/>
                <w:spacing w:val="-10"/>
              </w:rPr>
              <w:t>施</w:t>
            </w:r>
          </w:p>
        </w:tc>
        <w:tc>
          <w:tcPr>
            <w:tcW w:w="3260" w:type="dxa"/>
            <w:tcBorders>
              <w:top w:val="single" w:sz="4" w:space="0" w:color="231F20"/>
              <w:left w:val="single" w:sz="4" w:space="0" w:color="231F20"/>
              <w:right w:val="single" w:sz="4" w:space="0" w:color="231F20"/>
            </w:tcBorders>
            <w:vAlign w:val="center"/>
          </w:tcPr>
          <w:p w14:paraId="4A3067DD"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应急管理局根据险情及时调动应急抢险队伍，根据需要调拨全市范围内抢险救灾物资；增加值班人员，密切监视汛情、旱情和工情的发展变化；定期上报汛情及抗洪抢险、抗旱情况，加强对直接管理行业的防汛监督检查工作；督促指导全市煤矿企业做好防洪工作。</w:t>
            </w:r>
          </w:p>
          <w:p w14:paraId="3E0D78B4"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水务局负责人第一时间组织带领由工程技术人员组成的专家组赴一线向指挥部提供抢险方案等参谋意见。市、区两级水务部门要组织加强工程、堤岸巡查，实时掌握汛情和工情的发展变化，做好汛情预测预报，做好重点工程调度，通报现场情况，实时会商。</w:t>
            </w:r>
          </w:p>
          <w:p w14:paraId="25DC6F0E"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市气象局加密气象预报，发生旱情时，做好人工影响天气工作。</w:t>
            </w:r>
          </w:p>
          <w:p w14:paraId="149D2183"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市自然资源局督促、指导做好地质灾害隐患点的巡查以及重点地区地质灾害的监测预警和预报工作，组织地质灾害应急救援专家队伍进入待命状态。</w:t>
            </w:r>
          </w:p>
          <w:p w14:paraId="6B1B659F"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市交通运输局为防汛抗旱物资运输提供运输保障。</w:t>
            </w:r>
          </w:p>
          <w:p w14:paraId="15166619"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市住房和城乡建设局做好城市排涝工作和城市供水调度、管理工作。</w:t>
            </w:r>
          </w:p>
          <w:p w14:paraId="17577EC3"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市公用事业发展中心做好滨河区的排涝工作和甘德尔河涵闸的防汛工作。</w:t>
            </w:r>
          </w:p>
          <w:p w14:paraId="12A6C2BA"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市委宣传部组织市融媒体中心向公众及时发送、发布警示信息。</w:t>
            </w:r>
          </w:p>
          <w:p w14:paraId="228922C7"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市公安局做好涉险路段警戒管控工作。</w:t>
            </w:r>
          </w:p>
          <w:p w14:paraId="0207F188"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移动、联通、电信公司确保通讯畅通，必要时派出移动卫星通信指挥车。</w:t>
            </w:r>
          </w:p>
          <w:p w14:paraId="05C99B98"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市卫生健康委员会派出医疗队伍开展医疗救治。</w:t>
            </w:r>
          </w:p>
          <w:p w14:paraId="2262B7A4"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市防指其他成员单位听从指挥，按照职责分工，做好有关工作。</w:t>
            </w:r>
          </w:p>
          <w:p w14:paraId="402BD97F"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要加强信息报送，遇有险情、灾情第一时间上报，坚决杜绝漏报、谎报、瞒报、迟报和处置不及时现象。</w:t>
            </w:r>
          </w:p>
        </w:tc>
        <w:tc>
          <w:tcPr>
            <w:tcW w:w="3908" w:type="dxa"/>
            <w:tcBorders>
              <w:top w:val="single" w:sz="4" w:space="0" w:color="231F20"/>
              <w:left w:val="single" w:sz="4" w:space="0" w:color="231F20"/>
              <w:right w:val="single" w:sz="4" w:space="0" w:color="231F20"/>
            </w:tcBorders>
            <w:vAlign w:val="center"/>
          </w:tcPr>
          <w:p w14:paraId="6D43C04D"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市防指相关成员单位要做好</w:t>
            </w:r>
            <w:r>
              <w:rPr>
                <w:rFonts w:ascii="Times New Roman" w:eastAsia="仿宋_GB2312" w:hAnsi="Times New Roman" w:cs="仿宋_GB2312" w:hint="eastAsia"/>
              </w:rPr>
              <w:t>24</w:t>
            </w:r>
            <w:r>
              <w:rPr>
                <w:rFonts w:ascii="仿宋_GB2312" w:eastAsia="仿宋_GB2312" w:hAnsi="仿宋_GB2312" w:cs="仿宋_GB2312" w:hint="eastAsia"/>
              </w:rPr>
              <w:t>小时值班工作，按照指令完成任务。</w:t>
            </w:r>
          </w:p>
          <w:p w14:paraId="5B35465A"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应急管理局应及时调动应急抢险队伍，到达抢险一线；根据灾情向受灾地区调拨抢险救灾物资；增加值班人员，密切监视汛情和工情的发展变化；及时上报汛情及抗洪抢险情况；加强对直接管理行业的防汛抗旱监督检查工作。同时督促指导全市煤矿企业做好防洪工作，处于重点危险区域的露天煤矿企业必须停止生产，组织好煤矿人员转移避险。</w:t>
            </w:r>
          </w:p>
          <w:p w14:paraId="25D8D89E"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水务局负责人第一时间组织带领由工程技术人员组成的专家组赴一线向指挥部提供抢险方案等参谋意见。市、区两级水务部门要加派人员，加强工程、堤岸巡查，实时掌握汛情和工情的发展变化，做好汛情预测预报，按照相关预案做好工程调度。</w:t>
            </w:r>
          </w:p>
          <w:p w14:paraId="0AFAEAC9"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市气象局做好实时气象服务，发生旱情时做好人工影响天气工作。</w:t>
            </w:r>
          </w:p>
          <w:p w14:paraId="570DDC23"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市自然资源局督促、指导做好地质灾害隐患点的巡查以及重点地区地质灾害的监测预警和预报工作，如发生险情，组织地质灾害应急救援专家队伍赶赴现场。</w:t>
            </w:r>
          </w:p>
          <w:p w14:paraId="49C3109E"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交通、铁路、民航部门为防汛抗旱物资提供运输保障，并按职责做好公路、铁路、桥梁的巡查防护和水毁抢修。</w:t>
            </w:r>
          </w:p>
          <w:p w14:paraId="5B61586F"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市住房和城乡建设局做好城市排涝和城市供水工作。</w:t>
            </w:r>
          </w:p>
          <w:p w14:paraId="408A8EC3"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市公用事业发展中心做好滨河区的排涝工作和甘德尔河涵闸的防汛工作。</w:t>
            </w:r>
          </w:p>
          <w:p w14:paraId="1E93B305"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市委宣传部组织市融媒体中心及时向公众发送、发布警示信息。</w:t>
            </w:r>
          </w:p>
          <w:p w14:paraId="23479B0A"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市公安局做好涉险路段交通管制和警戒工作。</w:t>
            </w:r>
          </w:p>
          <w:p w14:paraId="0D138868"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市卫生健康委员会派出医疗队伍赴灾区开展医疗救治和防疫控制工作。</w:t>
            </w:r>
          </w:p>
          <w:p w14:paraId="4164B2FB"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移动、联通、电信公司确保通讯畅通，必要时派出移动卫星通信指挥车。</w:t>
            </w:r>
          </w:p>
          <w:p w14:paraId="4F331FAC" w14:textId="77777777" w:rsidR="009112DC" w:rsidRDefault="009112DC" w:rsidP="00917A6A">
            <w:pPr>
              <w:pStyle w:val="TableParagraph"/>
              <w:widowControl w:val="0"/>
              <w:kinsoku/>
              <w:adjustRightInd/>
              <w:snapToGrid/>
              <w:spacing w:line="300" w:lineRule="exact"/>
              <w:textAlignment w:val="auto"/>
              <w:rPr>
                <w:rFonts w:ascii="仿宋_GB2312" w:eastAsia="仿宋_GB2312" w:hAnsi="仿宋_GB2312" w:cs="仿宋_GB2312" w:hint="eastAsia"/>
              </w:rPr>
            </w:pPr>
            <w:r>
              <w:rPr>
                <w:rFonts w:ascii="仿宋_GB2312" w:eastAsia="仿宋_GB2312" w:hAnsi="仿宋_GB2312" w:cs="仿宋_GB2312" w:hint="eastAsia"/>
              </w:rPr>
              <w:t>指挥部其他成员单位听从统一指挥，按照职责分工，做好有关工作。</w:t>
            </w:r>
          </w:p>
        </w:tc>
        <w:tc>
          <w:tcPr>
            <w:tcW w:w="3171" w:type="dxa"/>
            <w:tcBorders>
              <w:top w:val="single" w:sz="4" w:space="0" w:color="231F20"/>
              <w:left w:val="single" w:sz="4" w:space="0" w:color="231F20"/>
              <w:right w:val="single" w:sz="4" w:space="0" w:color="231F20"/>
            </w:tcBorders>
            <w:vAlign w:val="center"/>
          </w:tcPr>
          <w:p w14:paraId="7752F72D"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市防指相关成员单位要做好</w:t>
            </w:r>
            <w:r>
              <w:rPr>
                <w:rFonts w:ascii="Times New Roman" w:eastAsia="仿宋_GB2312" w:hAnsi="Times New Roman" w:cs="仿宋_GB2312" w:hint="eastAsia"/>
              </w:rPr>
              <w:t>24</w:t>
            </w:r>
            <w:r>
              <w:rPr>
                <w:rFonts w:ascii="仿宋_GB2312" w:eastAsia="仿宋_GB2312" w:hAnsi="仿宋_GB2312" w:cs="仿宋_GB2312" w:hint="eastAsia"/>
              </w:rPr>
              <w:t>小时值班工作，按照指令全力完成任务。</w:t>
            </w:r>
          </w:p>
          <w:p w14:paraId="44E1768E"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应急管理局及时调动全市应急抢险队伍，投入抢险一线；协调各受灾地区调拨抢险救灾物资；全员轮值值守，密切监视汛情和工情的发展变化；定期在相关媒体上报道汛情及抗洪抢险、抗旱情况，依法统一发布灾情。</w:t>
            </w:r>
          </w:p>
          <w:p w14:paraId="188DED25"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水务局负责人第一时间组织带领由工程技术人员组成的专家组赴一线向指挥部提供抢险方案等参谋意见。市、区两级水务部门要调动全体人员，加强工程、堤岸巡查，实时掌握汛情和工情的发展变化，做好汛情预测预报，按照相关预案做好工程调度。</w:t>
            </w:r>
          </w:p>
          <w:p w14:paraId="17CF69D4"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气象部门做好实时气象服务。</w:t>
            </w:r>
          </w:p>
          <w:p w14:paraId="0B1BA523"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交通、铁路、民航部门为防汛抗旱物资提供运输保障，并按职责做好公路、铁路、桥梁的巡查防护和水毁抢修，铁路部门及时采取停运、限速、封锁等措施，确保行车安全。</w:t>
            </w:r>
          </w:p>
          <w:p w14:paraId="3E9AEF41"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住房和城乡建设局、公用事业发展中心做好城市排涝或城市供水工作；市住房和城乡建设局、公用事业发展中心、交通运输局等部门紧盯隧道、涵洞、地下商城、地下停车场、立交桥、下沉式建筑等易积水的低洼区域，及时实施关闭措</w:t>
            </w:r>
            <w:r>
              <w:rPr>
                <w:rFonts w:ascii="仿宋_GB2312" w:eastAsia="仿宋_GB2312" w:hAnsi="仿宋_GB2312" w:cs="仿宋_GB2312" w:hint="eastAsia"/>
              </w:rPr>
              <w:lastRenderedPageBreak/>
              <w:t>施，严防雨水倒灌引发事故灾害。</w:t>
            </w:r>
          </w:p>
          <w:p w14:paraId="58D96BA6"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市文体旅游广电局暂停或者取消大型室外活动和群众集会，撤离危险区域人员，关闭旅游景区，终止有组织的户外体育类活动。</w:t>
            </w:r>
          </w:p>
          <w:p w14:paraId="2803B3BF"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各区防指迅速组织地质灾害威胁区域、洪水威胁区域群众安全避险转移。</w:t>
            </w:r>
          </w:p>
          <w:p w14:paraId="31136434"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市住房和城乡建设局、水务局等部门迅速排查在建工程项目安全隐患，及时组织在河谷、低洼处办公、住宿的人员撤离。</w:t>
            </w:r>
          </w:p>
          <w:p w14:paraId="4FF7F31C"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委宣传部组织市融媒体中心等单位及时更新、不间断播报暴雨、洪水的有关信息，根据市防指的指令滚动发布指挥部公告，指导协调有关部门做好信息发布和舆论引导工作，及时收集舆情信息，加强正面宣传报道和舆论引导，保持社会稳定。</w:t>
            </w:r>
          </w:p>
          <w:p w14:paraId="7636594D"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市公安局维护好社会治安秩序，实施交通管制，协助组织群众转移或撤离。</w:t>
            </w:r>
          </w:p>
          <w:p w14:paraId="1E0CE0E7"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市卫生健康委员会全力组织做好灾区医疗救护和防疫控制工作。</w:t>
            </w:r>
          </w:p>
          <w:p w14:paraId="6F1CB031"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rPr>
            </w:pPr>
            <w:r>
              <w:rPr>
                <w:rFonts w:ascii="仿宋_GB2312" w:eastAsia="仿宋_GB2312" w:hAnsi="仿宋_GB2312" w:cs="仿宋_GB2312" w:hint="eastAsia"/>
              </w:rPr>
              <w:t>通信公司派出移动通信指挥车、消防部门派出应急消防指挥车到达抢险现场。</w:t>
            </w:r>
          </w:p>
          <w:p w14:paraId="3AA0436F" w14:textId="77777777" w:rsidR="009112DC" w:rsidRDefault="009112DC" w:rsidP="00917A6A">
            <w:pPr>
              <w:pStyle w:val="TableParagraph"/>
              <w:widowControl w:val="0"/>
              <w:kinsoku/>
              <w:adjustRightInd/>
              <w:snapToGrid/>
              <w:spacing w:line="260" w:lineRule="exact"/>
              <w:textAlignment w:val="auto"/>
              <w:rPr>
                <w:rFonts w:ascii="仿宋_GB2312" w:eastAsia="仿宋_GB2312" w:hAnsi="仿宋_GB2312" w:cs="仿宋_GB2312" w:hint="eastAsia"/>
                <w:spacing w:val="15"/>
              </w:rPr>
            </w:pPr>
            <w:r>
              <w:rPr>
                <w:rFonts w:ascii="仿宋_GB2312" w:eastAsia="仿宋_GB2312" w:hAnsi="仿宋_GB2312" w:cs="仿宋_GB2312" w:hint="eastAsia"/>
              </w:rPr>
              <w:t>市防指其他成员单位听从统一指挥，按照职责分工，做好有关工作。</w:t>
            </w:r>
          </w:p>
        </w:tc>
        <w:tc>
          <w:tcPr>
            <w:tcW w:w="3158" w:type="dxa"/>
            <w:tcBorders>
              <w:top w:val="single" w:sz="4" w:space="0" w:color="231F20"/>
              <w:left w:val="single" w:sz="4" w:space="0" w:color="231F20"/>
            </w:tcBorders>
            <w:vAlign w:val="center"/>
          </w:tcPr>
          <w:p w14:paraId="3147C813"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市防指相关成员单位要做好</w:t>
            </w:r>
            <w:r>
              <w:rPr>
                <w:rFonts w:ascii="Times New Roman" w:eastAsia="仿宋_GB2312" w:hAnsi="Times New Roman" w:cs="仿宋_GB2312" w:hint="eastAsia"/>
              </w:rPr>
              <w:t>24</w:t>
            </w:r>
            <w:r>
              <w:rPr>
                <w:rFonts w:ascii="仿宋_GB2312" w:eastAsia="仿宋_GB2312" w:hAnsi="仿宋_GB2312" w:cs="仿宋_GB2312" w:hint="eastAsia"/>
              </w:rPr>
              <w:t>小时值班工作，按照指令全力完成任务。</w:t>
            </w:r>
          </w:p>
          <w:p w14:paraId="29D35712"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应急管理局要及时调动全市各类应急抢险队伍，投入抢险一线；协调各方向受灾地区调拨抢险救灾物资；全员轮值值守，密切监视汛情和工情的发展变化；定期在相关媒体上报道汛情及抗洪抢险情况，依法统一发布灾情。</w:t>
            </w:r>
          </w:p>
          <w:p w14:paraId="2BC02309"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市、区两级水务部门要调动全体人员，加强工程、堤岸巡查，实时掌握汛情和工情的发展变化，做好汛情预测预报，按照相关预案做好工程调度。</w:t>
            </w:r>
          </w:p>
          <w:p w14:paraId="050CCD6A"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气象部门做好实时气象服务。</w:t>
            </w:r>
          </w:p>
          <w:p w14:paraId="57311760"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交通、铁路、民航部门为防汛抗旱物资运输提供运输保障，并按职责做好公路、铁路、桥梁的巡查防护和水毁抢修，铁路部门及时采取停运、限速、封锁等措施，确保行车安全。</w:t>
            </w:r>
          </w:p>
          <w:p w14:paraId="115A9CBD"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住房和城乡建设局、公用事业发展中心做好城市排涝或城市供水工作；市住房和城乡建设局、公用事业发展中心、交通运输局等部门紧盯隧道、涵洞、地下商城、地下停车场、立交桥、下沉式建筑等易积水的低洼区域，及时实施关闭措施，严防雨水倒灌引发事故灾害。</w:t>
            </w:r>
          </w:p>
          <w:p w14:paraId="5C3BB07C"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市文体旅游广电局暂停或者取消大型室外活动和群众集会，撤离</w:t>
            </w:r>
            <w:r>
              <w:rPr>
                <w:rFonts w:ascii="仿宋_GB2312" w:eastAsia="仿宋_GB2312" w:hAnsi="仿宋_GB2312" w:cs="仿宋_GB2312" w:hint="eastAsia"/>
              </w:rPr>
              <w:lastRenderedPageBreak/>
              <w:t>危险区域人员，关闭旅游景区，终止有组织的户外体育类活动。</w:t>
            </w:r>
          </w:p>
          <w:p w14:paraId="78EE7D3B"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各区防指迅速组织地质灾害威胁区域、洪水威胁区域群众安全避险转移。</w:t>
            </w:r>
          </w:p>
          <w:p w14:paraId="704727C2"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市住房和城乡建设局、水务局等部门迅速排查在建工程项目安全隐患，及时组织在河谷、低洼处办公、住宿的人员撤离。</w:t>
            </w:r>
          </w:p>
          <w:p w14:paraId="74CD29E5"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委宣传部组织市融媒体中心及时更新、不间断播报暴雨、洪水的有关信息，根据市防指的指令滚动发布指挥部公告，指导协调有关部门做好信息发布和舆论引导工作，及时收集舆情信息，加强正面宣传报道和舆论引导，保持社会民心稳定。</w:t>
            </w:r>
          </w:p>
          <w:p w14:paraId="7DCD3019"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市公安局维护好社会治安秩序，实施交通管制，协助组织群众转移或撤离。</w:t>
            </w:r>
          </w:p>
          <w:p w14:paraId="43BB1D4D"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市卫生健康委员会全力组织做好灾区医疗救护和防疫控制工作。</w:t>
            </w:r>
          </w:p>
          <w:p w14:paraId="7C5FF44D"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rPr>
            </w:pPr>
            <w:r>
              <w:rPr>
                <w:rFonts w:ascii="仿宋_GB2312" w:eastAsia="仿宋_GB2312" w:hAnsi="仿宋_GB2312" w:cs="仿宋_GB2312" w:hint="eastAsia"/>
              </w:rPr>
              <w:t>通信公司派出移动通信指挥车、消防部门派出应急消防指挥车到达抢险现场。</w:t>
            </w:r>
          </w:p>
          <w:p w14:paraId="082C2C4E" w14:textId="77777777" w:rsidR="009112DC" w:rsidRDefault="009112DC" w:rsidP="00917A6A">
            <w:pPr>
              <w:pStyle w:val="TableParagraph"/>
              <w:widowControl w:val="0"/>
              <w:kinsoku/>
              <w:adjustRightInd/>
              <w:snapToGrid/>
              <w:spacing w:line="240" w:lineRule="exact"/>
              <w:textAlignment w:val="auto"/>
              <w:rPr>
                <w:rFonts w:ascii="仿宋_GB2312" w:eastAsia="仿宋_GB2312" w:hAnsi="仿宋_GB2312" w:cs="仿宋_GB2312" w:hint="eastAsia"/>
                <w:spacing w:val="15"/>
              </w:rPr>
            </w:pPr>
            <w:r>
              <w:rPr>
                <w:rFonts w:ascii="仿宋_GB2312" w:eastAsia="仿宋_GB2312" w:hAnsi="仿宋_GB2312" w:cs="仿宋_GB2312" w:hint="eastAsia"/>
              </w:rPr>
              <w:t>市防指其他成员单位听从统一指挥，按照职责分工，做好有关工作。</w:t>
            </w:r>
          </w:p>
        </w:tc>
      </w:tr>
    </w:tbl>
    <w:p w14:paraId="6E546FAE" w14:textId="77777777" w:rsidR="009112DC" w:rsidRDefault="009112DC" w:rsidP="009112DC">
      <w:pPr>
        <w:spacing w:line="340" w:lineRule="exact"/>
        <w:jc w:val="both"/>
        <w:rPr>
          <w:rFonts w:ascii="仿宋_GB2312" w:eastAsia="仿宋_GB2312" w:hAnsi="仿宋_GB2312" w:cs="仿宋_GB2312" w:hint="eastAsia"/>
          <w:sz w:val="22"/>
          <w:szCs w:val="22"/>
          <w:lang w:eastAsia="zh-CN"/>
        </w:rPr>
        <w:sectPr w:rsidR="009112DC">
          <w:footerReference w:type="default" r:id="rId7"/>
          <w:type w:val="continuous"/>
          <w:pgSz w:w="16838" w:h="11849" w:orient="landscape"/>
          <w:pgMar w:top="1531" w:right="1701" w:bottom="1531" w:left="1701" w:header="850" w:footer="1417" w:gutter="0"/>
          <w:cols w:space="720"/>
          <w:docGrid w:linePitch="1"/>
        </w:sectPr>
      </w:pPr>
    </w:p>
    <w:p w14:paraId="384D4931" w14:textId="77777777" w:rsidR="009112DC" w:rsidRDefault="009112DC" w:rsidP="009112DC">
      <w:pPr>
        <w:pStyle w:val="a9"/>
        <w:spacing w:line="340" w:lineRule="exact"/>
        <w:jc w:val="both"/>
        <w:rPr>
          <w:rFonts w:ascii="仿宋_GB2312" w:eastAsia="仿宋_GB2312" w:hAnsi="仿宋_GB2312" w:cs="仿宋_GB2312" w:hint="eastAsia"/>
          <w:sz w:val="22"/>
          <w:szCs w:val="22"/>
          <w:lang w:eastAsia="zh-CN"/>
        </w:rPr>
        <w:sectPr w:rsidR="009112DC">
          <w:footerReference w:type="default" r:id="rId8"/>
          <w:type w:val="continuous"/>
          <w:pgSz w:w="16838" w:h="11849" w:orient="landscape"/>
          <w:pgMar w:top="1701" w:right="1531" w:bottom="1701" w:left="1531" w:header="850" w:footer="1417" w:gutter="0"/>
          <w:cols w:space="720"/>
          <w:docGrid w:linePitch="1"/>
        </w:sectPr>
      </w:pPr>
    </w:p>
    <w:tbl>
      <w:tblPr>
        <w:tblW w:w="15024"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000" w:firstRow="0" w:lastRow="0" w:firstColumn="0" w:lastColumn="0" w:noHBand="0" w:noVBand="0"/>
      </w:tblPr>
      <w:tblGrid>
        <w:gridCol w:w="1301"/>
        <w:gridCol w:w="3052"/>
        <w:gridCol w:w="3895"/>
        <w:gridCol w:w="3145"/>
        <w:gridCol w:w="3631"/>
      </w:tblGrid>
      <w:tr w:rsidR="009112DC" w14:paraId="0273AF45" w14:textId="77777777" w:rsidTr="00917A6A">
        <w:trPr>
          <w:trHeight w:val="404"/>
          <w:tblHeader/>
          <w:jc w:val="center"/>
        </w:trPr>
        <w:tc>
          <w:tcPr>
            <w:tcW w:w="1301" w:type="dxa"/>
            <w:tcBorders>
              <w:bottom w:val="single" w:sz="4" w:space="0" w:color="231F20"/>
              <w:right w:val="single" w:sz="4" w:space="0" w:color="231F20"/>
            </w:tcBorders>
          </w:tcPr>
          <w:p w14:paraId="07FDB4B2" w14:textId="77777777" w:rsidR="009112DC" w:rsidRDefault="009112DC" w:rsidP="00917A6A">
            <w:pPr>
              <w:pStyle w:val="TableParagraph"/>
              <w:spacing w:line="500" w:lineRule="exact"/>
              <w:jc w:val="center"/>
              <w:rPr>
                <w:rFonts w:ascii="黑体" w:eastAsia="黑体" w:hAnsi="黑体" w:cs="黑体" w:hint="eastAsia"/>
              </w:rPr>
            </w:pPr>
            <w:r>
              <w:rPr>
                <w:rFonts w:ascii="黑体" w:eastAsia="黑体" w:hAnsi="黑体" w:cs="黑体" w:hint="eastAsia"/>
              </w:rPr>
              <w:lastRenderedPageBreak/>
              <w:t>判别对象</w:t>
            </w:r>
          </w:p>
        </w:tc>
        <w:tc>
          <w:tcPr>
            <w:tcW w:w="3052" w:type="dxa"/>
            <w:tcBorders>
              <w:left w:val="single" w:sz="4" w:space="0" w:color="231F20"/>
              <w:bottom w:val="single" w:sz="4" w:space="0" w:color="231F20"/>
              <w:right w:val="single" w:sz="4" w:space="0" w:color="231F20"/>
            </w:tcBorders>
          </w:tcPr>
          <w:p w14:paraId="2B09C69D" w14:textId="77777777" w:rsidR="009112DC" w:rsidRDefault="009112DC" w:rsidP="00917A6A">
            <w:pPr>
              <w:pStyle w:val="TableParagraph"/>
              <w:spacing w:line="500" w:lineRule="exact"/>
              <w:jc w:val="center"/>
              <w:rPr>
                <w:rFonts w:ascii="黑体" w:eastAsia="黑体" w:hAnsi="黑体" w:cs="黑体" w:hint="eastAsia"/>
              </w:rPr>
            </w:pPr>
            <w:r>
              <w:rPr>
                <w:rFonts w:ascii="黑体" w:eastAsia="黑体" w:hAnsi="黑体" w:cs="黑体" w:hint="eastAsia"/>
              </w:rPr>
              <w:t>四级应急响应</w:t>
            </w:r>
          </w:p>
        </w:tc>
        <w:tc>
          <w:tcPr>
            <w:tcW w:w="3895" w:type="dxa"/>
            <w:tcBorders>
              <w:left w:val="single" w:sz="4" w:space="0" w:color="231F20"/>
              <w:bottom w:val="single" w:sz="4" w:space="0" w:color="231F20"/>
              <w:right w:val="single" w:sz="4" w:space="0" w:color="231F20"/>
            </w:tcBorders>
          </w:tcPr>
          <w:p w14:paraId="3115467C" w14:textId="77777777" w:rsidR="009112DC" w:rsidRDefault="009112DC" w:rsidP="00917A6A">
            <w:pPr>
              <w:pStyle w:val="TableParagraph"/>
              <w:spacing w:line="500" w:lineRule="exact"/>
              <w:jc w:val="center"/>
              <w:rPr>
                <w:rFonts w:ascii="黑体" w:eastAsia="黑体" w:hAnsi="黑体" w:cs="黑体" w:hint="eastAsia"/>
              </w:rPr>
            </w:pPr>
            <w:r>
              <w:rPr>
                <w:rFonts w:ascii="黑体" w:eastAsia="黑体" w:hAnsi="黑体" w:cs="黑体" w:hint="eastAsia"/>
              </w:rPr>
              <w:t>三级应急响应</w:t>
            </w:r>
          </w:p>
        </w:tc>
        <w:tc>
          <w:tcPr>
            <w:tcW w:w="3145" w:type="dxa"/>
            <w:tcBorders>
              <w:left w:val="single" w:sz="4" w:space="0" w:color="231F20"/>
              <w:bottom w:val="single" w:sz="4" w:space="0" w:color="231F20"/>
              <w:right w:val="single" w:sz="4" w:space="0" w:color="231F20"/>
            </w:tcBorders>
          </w:tcPr>
          <w:p w14:paraId="183DC789" w14:textId="77777777" w:rsidR="009112DC" w:rsidRDefault="009112DC" w:rsidP="00917A6A">
            <w:pPr>
              <w:pStyle w:val="TableParagraph"/>
              <w:spacing w:line="500" w:lineRule="exact"/>
              <w:jc w:val="center"/>
              <w:rPr>
                <w:rFonts w:ascii="黑体" w:eastAsia="黑体" w:hAnsi="黑体" w:cs="黑体" w:hint="eastAsia"/>
              </w:rPr>
            </w:pPr>
            <w:r>
              <w:rPr>
                <w:rFonts w:ascii="黑体" w:eastAsia="黑体" w:hAnsi="黑体" w:cs="黑体" w:hint="eastAsia"/>
              </w:rPr>
              <w:t>二级应急响应</w:t>
            </w:r>
          </w:p>
        </w:tc>
        <w:tc>
          <w:tcPr>
            <w:tcW w:w="3631" w:type="dxa"/>
            <w:tcBorders>
              <w:left w:val="single" w:sz="4" w:space="0" w:color="231F20"/>
              <w:bottom w:val="single" w:sz="4" w:space="0" w:color="231F20"/>
            </w:tcBorders>
          </w:tcPr>
          <w:p w14:paraId="151C86FF" w14:textId="77777777" w:rsidR="009112DC" w:rsidRDefault="009112DC" w:rsidP="00917A6A">
            <w:pPr>
              <w:pStyle w:val="TableParagraph"/>
              <w:spacing w:line="500" w:lineRule="exact"/>
              <w:jc w:val="center"/>
              <w:rPr>
                <w:rFonts w:ascii="黑体" w:eastAsia="黑体" w:hAnsi="黑体" w:cs="黑体" w:hint="eastAsia"/>
              </w:rPr>
            </w:pPr>
            <w:r>
              <w:rPr>
                <w:rFonts w:ascii="黑体" w:eastAsia="黑体" w:hAnsi="黑体" w:cs="黑体" w:hint="eastAsia"/>
              </w:rPr>
              <w:t>一级应急响应</w:t>
            </w:r>
          </w:p>
        </w:tc>
      </w:tr>
      <w:tr w:rsidR="009112DC" w14:paraId="7C559133" w14:textId="77777777" w:rsidTr="00917A6A">
        <w:trPr>
          <w:trHeight w:val="3335"/>
          <w:jc w:val="center"/>
        </w:trPr>
        <w:tc>
          <w:tcPr>
            <w:tcW w:w="1301" w:type="dxa"/>
            <w:tcBorders>
              <w:top w:val="single" w:sz="4" w:space="0" w:color="231F20"/>
              <w:bottom w:val="single" w:sz="4" w:space="0" w:color="231F20"/>
              <w:right w:val="single" w:sz="4" w:space="0" w:color="231F20"/>
            </w:tcBorders>
            <w:vAlign w:val="center"/>
          </w:tcPr>
          <w:p w14:paraId="2B179A3F" w14:textId="77777777" w:rsidR="009112DC" w:rsidRDefault="009112DC" w:rsidP="00917A6A">
            <w:pPr>
              <w:pStyle w:val="TableParagraph"/>
              <w:widowControl w:val="0"/>
              <w:kinsoku/>
              <w:adjustRightInd/>
              <w:snapToGrid/>
              <w:spacing w:line="30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各区防指响应措施</w:t>
            </w:r>
          </w:p>
        </w:tc>
        <w:tc>
          <w:tcPr>
            <w:tcW w:w="3052" w:type="dxa"/>
            <w:tcBorders>
              <w:top w:val="single" w:sz="4" w:space="0" w:color="231F20"/>
              <w:left w:val="single" w:sz="4" w:space="0" w:color="231F20"/>
              <w:bottom w:val="single" w:sz="4" w:space="0" w:color="231F20"/>
              <w:right w:val="single" w:sz="4" w:space="0" w:color="231F20"/>
            </w:tcBorders>
            <w:vAlign w:val="center"/>
          </w:tcPr>
          <w:p w14:paraId="438534DC"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各区防指派出工作组到达一线，调动应急力量、应急物资、机械，全力组织防汛抢险救援；根据险情按照预案转移危险地区群众和财产，组织强化对水库 （水闸）和堤防的巡查和防守，加强汛情监视，做好信息报送；组织对辖区河道内阻水障碍物进行清除。</w:t>
            </w:r>
          </w:p>
        </w:tc>
        <w:tc>
          <w:tcPr>
            <w:tcW w:w="3895" w:type="dxa"/>
            <w:tcBorders>
              <w:top w:val="single" w:sz="4" w:space="0" w:color="231F20"/>
              <w:left w:val="single" w:sz="4" w:space="0" w:color="231F20"/>
              <w:bottom w:val="single" w:sz="4" w:space="0" w:color="231F20"/>
              <w:right w:val="single" w:sz="4" w:space="0" w:color="231F20"/>
            </w:tcBorders>
            <w:vAlign w:val="center"/>
          </w:tcPr>
          <w:p w14:paraId="6849C1D2"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各区防指责任人按照指挥部署，及时调动应急力量、应急物资、机械，全力组织防汛抗旱抢险救援；按照预案转移危险地区群众和财产，组织强化对水库（水闸）和堤防的巡查和防守，加强汛情监视，做好信息报送；发生决口事件，当地政府立即组织力量，采取工程措施堵复决口，及时控制险情；组织应对干旱和恢复供水。</w:t>
            </w:r>
          </w:p>
        </w:tc>
        <w:tc>
          <w:tcPr>
            <w:tcW w:w="3145" w:type="dxa"/>
            <w:tcBorders>
              <w:top w:val="single" w:sz="4" w:space="0" w:color="231F20"/>
              <w:left w:val="single" w:sz="4" w:space="0" w:color="231F20"/>
              <w:bottom w:val="single" w:sz="4" w:space="0" w:color="231F20"/>
              <w:right w:val="single" w:sz="4" w:space="0" w:color="231F20"/>
            </w:tcBorders>
            <w:vAlign w:val="center"/>
          </w:tcPr>
          <w:p w14:paraId="709D96B0"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各区防指责任人按照指挥部署，及时调动应急力量、应急物资、机械，全力组织防汛抗旱抢险救援；按照预案转移危险地区群众和财产，做好临时安置，组织对水库（水闸）和堤防严防死守，密切监视汛情，及时准确报送信息；遇重大险情，及时申请调动市级力量和物资，力争排除险情。</w:t>
            </w:r>
          </w:p>
        </w:tc>
        <w:tc>
          <w:tcPr>
            <w:tcW w:w="3631" w:type="dxa"/>
            <w:tcBorders>
              <w:top w:val="single" w:sz="4" w:space="0" w:color="231F20"/>
              <w:left w:val="single" w:sz="4" w:space="0" w:color="231F20"/>
              <w:bottom w:val="single" w:sz="4" w:space="0" w:color="231F20"/>
            </w:tcBorders>
            <w:vAlign w:val="center"/>
          </w:tcPr>
          <w:p w14:paraId="68AAD260"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各区防指责任人按照指挥部署，及时调动应急力量、应急物资、机械，按照指挥全力投入防汛抗旱抢险救援；按照预案转移危险地区群众和财产，做好临时安置，组织对水库（水闸）和堤防严防死守，密切监视汛情，及时准确报送信息。</w:t>
            </w:r>
          </w:p>
        </w:tc>
      </w:tr>
      <w:tr w:rsidR="009112DC" w14:paraId="6CE53E71" w14:textId="77777777" w:rsidTr="00917A6A">
        <w:trPr>
          <w:trHeight w:val="4490"/>
          <w:jc w:val="center"/>
        </w:trPr>
        <w:tc>
          <w:tcPr>
            <w:tcW w:w="1301" w:type="dxa"/>
            <w:tcBorders>
              <w:top w:val="single" w:sz="4" w:space="0" w:color="231F20"/>
              <w:bottom w:val="single" w:sz="4" w:space="0" w:color="231F20"/>
              <w:right w:val="single" w:sz="4" w:space="0" w:color="231F20"/>
            </w:tcBorders>
            <w:vAlign w:val="center"/>
          </w:tcPr>
          <w:p w14:paraId="79B05A0B" w14:textId="77777777" w:rsidR="009112DC" w:rsidRDefault="009112DC" w:rsidP="00917A6A">
            <w:pPr>
              <w:pStyle w:val="TableParagraph"/>
              <w:widowControl w:val="0"/>
              <w:kinsoku/>
              <w:adjustRightInd/>
              <w:snapToGrid/>
              <w:spacing w:line="30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资金、物资</w:t>
            </w:r>
          </w:p>
        </w:tc>
        <w:tc>
          <w:tcPr>
            <w:tcW w:w="3052" w:type="dxa"/>
            <w:tcBorders>
              <w:top w:val="single" w:sz="4" w:space="0" w:color="231F20"/>
              <w:left w:val="single" w:sz="4" w:space="0" w:color="231F20"/>
              <w:bottom w:val="single" w:sz="4" w:space="0" w:color="231F20"/>
              <w:right w:val="single" w:sz="4" w:space="0" w:color="231F20"/>
            </w:tcBorders>
            <w:vAlign w:val="center"/>
          </w:tcPr>
          <w:p w14:paraId="7D7B5666"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根据防洪抢险救灾需要和地方请求，市应急管理局视情况向灾区调拨防汛抢险救灾物资；市财政局视情况下拨自然灾害救灾资金，积极向自治区申请自然灾害救灾资金和各类资金支持。各抢险物资库</w:t>
            </w:r>
            <w:r>
              <w:rPr>
                <w:rFonts w:ascii="Times New Roman" w:eastAsia="仿宋_GB2312" w:hAnsi="Times New Roman" w:cs="仿宋_GB2312" w:hint="eastAsia"/>
              </w:rPr>
              <w:t>24</w:t>
            </w:r>
            <w:r>
              <w:rPr>
                <w:rFonts w:ascii="仿宋_GB2312" w:eastAsia="仿宋_GB2312" w:hAnsi="仿宋_GB2312" w:cs="仿宋_GB2312" w:hint="eastAsia"/>
              </w:rPr>
              <w:t>小时待命，抢险设施设备（如冲锋舟、挖掘机、装载机、吊车、自卸车等）必须检修就绪。</w:t>
            </w:r>
          </w:p>
        </w:tc>
        <w:tc>
          <w:tcPr>
            <w:tcW w:w="3895" w:type="dxa"/>
            <w:tcBorders>
              <w:top w:val="single" w:sz="4" w:space="0" w:color="231F20"/>
              <w:left w:val="single" w:sz="4" w:space="0" w:color="231F20"/>
              <w:bottom w:val="single" w:sz="4" w:space="0" w:color="231F20"/>
              <w:right w:val="single" w:sz="4" w:space="0" w:color="231F20"/>
            </w:tcBorders>
            <w:vAlign w:val="center"/>
          </w:tcPr>
          <w:p w14:paraId="7FAE7160"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根据防洪抢险救灾需要和地方请求，市应急管理局视情况向灾区调拨防汛抢险救灾物资；市财政局视情况下拨自然灾害救灾资金，积极向自治区申请自然灾害救灾资金和各类资金支持。各抢险物资库</w:t>
            </w:r>
            <w:r>
              <w:rPr>
                <w:rFonts w:ascii="Times New Roman" w:eastAsia="仿宋_GB2312" w:hAnsi="Times New Roman" w:cs="仿宋_GB2312" w:hint="eastAsia"/>
              </w:rPr>
              <w:t>24</w:t>
            </w:r>
            <w:r>
              <w:rPr>
                <w:rFonts w:ascii="仿宋_GB2312" w:eastAsia="仿宋_GB2312" w:hAnsi="仿宋_GB2312" w:cs="仿宋_GB2312" w:hint="eastAsia"/>
              </w:rPr>
              <w:t>小时待命，按要求迅速调运抢险物资设备。</w:t>
            </w:r>
          </w:p>
        </w:tc>
        <w:tc>
          <w:tcPr>
            <w:tcW w:w="3145" w:type="dxa"/>
            <w:tcBorders>
              <w:top w:val="single" w:sz="4" w:space="0" w:color="231F20"/>
              <w:left w:val="single" w:sz="4" w:space="0" w:color="231F20"/>
              <w:bottom w:val="single" w:sz="4" w:space="0" w:color="231F20"/>
              <w:right w:val="single" w:sz="4" w:space="0" w:color="231F20"/>
            </w:tcBorders>
            <w:vAlign w:val="center"/>
          </w:tcPr>
          <w:p w14:paraId="6240667C"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防洪抢险救灾需要和地方请求，市应急管理局视情况向灾区调拨防汛抢险救灾物资；市财政局视情况下拨自然灾害救灾资金，积极向自治区申请自然灾害救灾资金和各类资金支持，尽快下拨相关资金；根据防洪抢险救灾情况，市应急管理局向自治区应急厅请调物资支持。各抢险物资库</w:t>
            </w:r>
            <w:r>
              <w:rPr>
                <w:rFonts w:ascii="Times New Roman" w:eastAsia="仿宋_GB2312" w:hAnsi="Times New Roman" w:cs="仿宋_GB2312" w:hint="eastAsia"/>
              </w:rPr>
              <w:t>24</w:t>
            </w:r>
            <w:r>
              <w:rPr>
                <w:rFonts w:ascii="仿宋_GB2312" w:eastAsia="仿宋_GB2312" w:hAnsi="仿宋_GB2312" w:cs="仿宋_GB2312" w:hint="eastAsia"/>
              </w:rPr>
              <w:t>小时待命，按要求迅速调运抢险物资设备。</w:t>
            </w:r>
          </w:p>
        </w:tc>
        <w:tc>
          <w:tcPr>
            <w:tcW w:w="3631" w:type="dxa"/>
            <w:tcBorders>
              <w:top w:val="single" w:sz="4" w:space="0" w:color="231F20"/>
              <w:left w:val="single" w:sz="4" w:space="0" w:color="231F20"/>
              <w:bottom w:val="single" w:sz="4" w:space="0" w:color="231F20"/>
            </w:tcBorders>
            <w:vAlign w:val="center"/>
          </w:tcPr>
          <w:p w14:paraId="5BA89191"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根据防洪抢险救灾需要和地方请求，市应急管理局视情况向灾区调拨防汛抢险救灾物资；市财政局视情况下拨自然灾害救灾资金，积极向自治区申请自然灾害救灾资金和各类资金支持，尽快下拨相关资金；根据防洪抢险救灾情况，市应急管理局向自治区应急厅请调物资支持。各抢险物资库</w:t>
            </w:r>
            <w:r>
              <w:rPr>
                <w:rFonts w:ascii="Times New Roman" w:eastAsia="仿宋_GB2312" w:hAnsi="Times New Roman" w:cs="仿宋_GB2312" w:hint="eastAsia"/>
              </w:rPr>
              <w:t>24</w:t>
            </w:r>
            <w:r>
              <w:rPr>
                <w:rFonts w:ascii="仿宋_GB2312" w:eastAsia="仿宋_GB2312" w:hAnsi="仿宋_GB2312" w:cs="仿宋_GB2312" w:hint="eastAsia"/>
              </w:rPr>
              <w:t>小时待命，按要求迅速调运抢险物资设备。</w:t>
            </w:r>
          </w:p>
        </w:tc>
      </w:tr>
      <w:tr w:rsidR="009112DC" w14:paraId="1D53BF53" w14:textId="77777777" w:rsidTr="00917A6A">
        <w:trPr>
          <w:trHeight w:val="808"/>
          <w:jc w:val="center"/>
        </w:trPr>
        <w:tc>
          <w:tcPr>
            <w:tcW w:w="1301" w:type="dxa"/>
            <w:tcBorders>
              <w:top w:val="single" w:sz="4" w:space="0" w:color="231F20"/>
              <w:bottom w:val="single" w:sz="4" w:space="0" w:color="231F20"/>
              <w:right w:val="single" w:sz="4" w:space="0" w:color="231F20"/>
            </w:tcBorders>
            <w:vAlign w:val="center"/>
          </w:tcPr>
          <w:p w14:paraId="31995BEE" w14:textId="77777777" w:rsidR="009112DC" w:rsidRDefault="009112DC" w:rsidP="00917A6A">
            <w:pPr>
              <w:pStyle w:val="TableParagraph"/>
              <w:widowControl w:val="0"/>
              <w:kinsoku/>
              <w:adjustRightInd/>
              <w:snapToGrid/>
              <w:spacing w:line="30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队伍</w:t>
            </w:r>
          </w:p>
        </w:tc>
        <w:tc>
          <w:tcPr>
            <w:tcW w:w="3052" w:type="dxa"/>
            <w:tcBorders>
              <w:top w:val="single" w:sz="4" w:space="0" w:color="231F20"/>
              <w:left w:val="single" w:sz="4" w:space="0" w:color="231F20"/>
              <w:bottom w:val="single" w:sz="4" w:space="0" w:color="231F20"/>
              <w:right w:val="single" w:sz="4" w:space="0" w:color="231F20"/>
            </w:tcBorders>
            <w:vAlign w:val="center"/>
          </w:tcPr>
          <w:p w14:paraId="63687C12"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全市武警部队、民兵、综合性应急救援队伍投入抗洪抢险救援或做好投入准备。</w:t>
            </w:r>
          </w:p>
        </w:tc>
        <w:tc>
          <w:tcPr>
            <w:tcW w:w="3895" w:type="dxa"/>
            <w:tcBorders>
              <w:top w:val="single" w:sz="4" w:space="0" w:color="231F20"/>
              <w:left w:val="single" w:sz="4" w:space="0" w:color="231F20"/>
              <w:bottom w:val="single" w:sz="4" w:space="0" w:color="231F20"/>
              <w:right w:val="single" w:sz="4" w:space="0" w:color="231F20"/>
            </w:tcBorders>
            <w:vAlign w:val="center"/>
          </w:tcPr>
          <w:p w14:paraId="3A6CAABC"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全市武警部队、民兵、综合性救援队伍投入抗洪抢险救灾。</w:t>
            </w:r>
          </w:p>
        </w:tc>
        <w:tc>
          <w:tcPr>
            <w:tcW w:w="3145" w:type="dxa"/>
            <w:tcBorders>
              <w:top w:val="single" w:sz="4" w:space="0" w:color="231F20"/>
              <w:left w:val="single" w:sz="4" w:space="0" w:color="231F20"/>
              <w:bottom w:val="single" w:sz="4" w:space="0" w:color="231F20"/>
              <w:right w:val="single" w:sz="4" w:space="0" w:color="231F20"/>
            </w:tcBorders>
            <w:vAlign w:val="center"/>
          </w:tcPr>
          <w:p w14:paraId="75DED339"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全市武警部队、民兵、综合性救援队伍投入抗洪抢险救灾。</w:t>
            </w:r>
          </w:p>
        </w:tc>
        <w:tc>
          <w:tcPr>
            <w:tcW w:w="3631" w:type="dxa"/>
            <w:tcBorders>
              <w:top w:val="single" w:sz="4" w:space="0" w:color="231F20"/>
              <w:left w:val="single" w:sz="4" w:space="0" w:color="231F20"/>
              <w:bottom w:val="single" w:sz="4" w:space="0" w:color="231F20"/>
            </w:tcBorders>
            <w:vAlign w:val="center"/>
          </w:tcPr>
          <w:p w14:paraId="005A2540"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全市武警部队、民兵、综合性救援队伍投入抗洪抢险救灾。</w:t>
            </w:r>
          </w:p>
        </w:tc>
      </w:tr>
      <w:tr w:rsidR="009112DC" w14:paraId="5DAF0BD2" w14:textId="77777777" w:rsidTr="00917A6A">
        <w:trPr>
          <w:trHeight w:val="1121"/>
          <w:jc w:val="center"/>
        </w:trPr>
        <w:tc>
          <w:tcPr>
            <w:tcW w:w="1301" w:type="dxa"/>
            <w:tcBorders>
              <w:top w:val="single" w:sz="4" w:space="0" w:color="231F20"/>
              <w:bottom w:val="single" w:sz="4" w:space="0" w:color="231F20"/>
              <w:right w:val="single" w:sz="4" w:space="0" w:color="231F20"/>
            </w:tcBorders>
            <w:vAlign w:val="center"/>
          </w:tcPr>
          <w:p w14:paraId="30DF9A0A" w14:textId="77777777" w:rsidR="009112DC" w:rsidRDefault="009112DC" w:rsidP="00917A6A">
            <w:pPr>
              <w:pStyle w:val="TableParagraph"/>
              <w:widowControl w:val="0"/>
              <w:kinsoku/>
              <w:adjustRightInd/>
              <w:snapToGrid/>
              <w:spacing w:line="30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t>响应终止</w:t>
            </w:r>
          </w:p>
        </w:tc>
        <w:tc>
          <w:tcPr>
            <w:tcW w:w="3052" w:type="dxa"/>
            <w:tcBorders>
              <w:top w:val="single" w:sz="4" w:space="0" w:color="231F20"/>
              <w:left w:val="single" w:sz="4" w:space="0" w:color="231F20"/>
              <w:bottom w:val="single" w:sz="4" w:space="0" w:color="231F20"/>
              <w:right w:val="single" w:sz="4" w:space="0" w:color="231F20"/>
            </w:tcBorders>
            <w:vAlign w:val="center"/>
          </w:tcPr>
          <w:p w14:paraId="0D252D0E"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视汛情、险情和灾情变化，由市防汛办适时提出终止四级应急响应的建议，报防汛办副主任同意后由市防汛办宣布结束四级应急响应。</w:t>
            </w:r>
          </w:p>
        </w:tc>
        <w:tc>
          <w:tcPr>
            <w:tcW w:w="3895" w:type="dxa"/>
            <w:tcBorders>
              <w:top w:val="single" w:sz="4" w:space="0" w:color="231F20"/>
              <w:left w:val="single" w:sz="4" w:space="0" w:color="231F20"/>
              <w:bottom w:val="single" w:sz="4" w:space="0" w:color="231F20"/>
              <w:right w:val="single" w:sz="4" w:space="0" w:color="231F20"/>
            </w:tcBorders>
            <w:vAlign w:val="center"/>
          </w:tcPr>
          <w:p w14:paraId="663E2722"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视汛情、险情和灾情变化，由市防汛办适时提出终止三级应急响应的建议，报副总指挥同意后宣布结束三级应急响应。</w:t>
            </w:r>
          </w:p>
        </w:tc>
        <w:tc>
          <w:tcPr>
            <w:tcW w:w="3145" w:type="dxa"/>
            <w:tcBorders>
              <w:top w:val="single" w:sz="4" w:space="0" w:color="231F20"/>
              <w:left w:val="single" w:sz="4" w:space="0" w:color="231F20"/>
              <w:bottom w:val="single" w:sz="4" w:space="0" w:color="231F20"/>
              <w:right w:val="single" w:sz="4" w:space="0" w:color="231F20"/>
            </w:tcBorders>
            <w:vAlign w:val="center"/>
          </w:tcPr>
          <w:p w14:paraId="79703444"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视汛情、险情和灾情变化，由市防汛办适时提出终止二级应急响应的建议，报常务副总指挥同意后宣布结束二级应急响应。</w:t>
            </w:r>
          </w:p>
        </w:tc>
        <w:tc>
          <w:tcPr>
            <w:tcW w:w="3631" w:type="dxa"/>
            <w:tcBorders>
              <w:top w:val="single" w:sz="4" w:space="0" w:color="231F20"/>
              <w:left w:val="single" w:sz="4" w:space="0" w:color="231F20"/>
              <w:bottom w:val="single" w:sz="4" w:space="0" w:color="231F20"/>
            </w:tcBorders>
            <w:vAlign w:val="center"/>
          </w:tcPr>
          <w:p w14:paraId="60920AA3"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视汛情、险情和灾情变化，由市防汛办适时提出终止一级应急响应的建议，报指挥部总指挥同意后宣布结束一级应急响应。</w:t>
            </w:r>
          </w:p>
        </w:tc>
      </w:tr>
      <w:tr w:rsidR="009112DC" w14:paraId="4125726E" w14:textId="77777777" w:rsidTr="00917A6A">
        <w:trPr>
          <w:trHeight w:val="964"/>
          <w:jc w:val="center"/>
        </w:trPr>
        <w:tc>
          <w:tcPr>
            <w:tcW w:w="1301" w:type="dxa"/>
            <w:tcBorders>
              <w:top w:val="single" w:sz="4" w:space="0" w:color="231F20"/>
              <w:right w:val="single" w:sz="4" w:space="0" w:color="231F20"/>
            </w:tcBorders>
            <w:vAlign w:val="center"/>
          </w:tcPr>
          <w:p w14:paraId="1F6553C1" w14:textId="77777777" w:rsidR="009112DC" w:rsidRDefault="009112DC" w:rsidP="00917A6A">
            <w:pPr>
              <w:pStyle w:val="TableParagraph"/>
              <w:widowControl w:val="0"/>
              <w:kinsoku/>
              <w:adjustRightInd/>
              <w:snapToGrid/>
              <w:spacing w:line="300" w:lineRule="exact"/>
              <w:jc w:val="center"/>
              <w:textAlignment w:val="auto"/>
              <w:rPr>
                <w:rFonts w:ascii="仿宋_GB2312" w:eastAsia="仿宋_GB2312" w:hAnsi="仿宋_GB2312" w:cs="仿宋_GB2312" w:hint="eastAsia"/>
              </w:rPr>
            </w:pPr>
            <w:r>
              <w:rPr>
                <w:rFonts w:ascii="仿宋_GB2312" w:eastAsia="仿宋_GB2312" w:hAnsi="仿宋_GB2312" w:cs="仿宋_GB2312" w:hint="eastAsia"/>
              </w:rPr>
              <w:lastRenderedPageBreak/>
              <w:t>其他</w:t>
            </w:r>
          </w:p>
        </w:tc>
        <w:tc>
          <w:tcPr>
            <w:tcW w:w="3052" w:type="dxa"/>
            <w:tcBorders>
              <w:top w:val="single" w:sz="4" w:space="0" w:color="231F20"/>
              <w:left w:val="single" w:sz="4" w:space="0" w:color="231F20"/>
              <w:right w:val="single" w:sz="4" w:space="0" w:color="231F20"/>
            </w:tcBorders>
            <w:vAlign w:val="center"/>
          </w:tcPr>
          <w:p w14:paraId="0D4ACC23"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市防指根据实际情况商定需要采取的其他措施。</w:t>
            </w:r>
          </w:p>
        </w:tc>
        <w:tc>
          <w:tcPr>
            <w:tcW w:w="3895" w:type="dxa"/>
            <w:tcBorders>
              <w:top w:val="single" w:sz="4" w:space="0" w:color="231F20"/>
              <w:left w:val="single" w:sz="4" w:space="0" w:color="231F20"/>
              <w:right w:val="single" w:sz="4" w:space="0" w:color="231F20"/>
            </w:tcBorders>
            <w:vAlign w:val="center"/>
          </w:tcPr>
          <w:p w14:paraId="098616F6"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市防指根据实际情况商定需要采取的其他措施。</w:t>
            </w:r>
          </w:p>
        </w:tc>
        <w:tc>
          <w:tcPr>
            <w:tcW w:w="3145" w:type="dxa"/>
            <w:tcBorders>
              <w:top w:val="single" w:sz="4" w:space="0" w:color="231F20"/>
              <w:left w:val="single" w:sz="4" w:space="0" w:color="231F20"/>
              <w:right w:val="single" w:sz="4" w:space="0" w:color="231F20"/>
            </w:tcBorders>
            <w:vAlign w:val="center"/>
          </w:tcPr>
          <w:p w14:paraId="782B9057"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市防指根据实际情况商定需要采取的其他措施。</w:t>
            </w:r>
          </w:p>
        </w:tc>
        <w:tc>
          <w:tcPr>
            <w:tcW w:w="3631" w:type="dxa"/>
            <w:tcBorders>
              <w:top w:val="single" w:sz="4" w:space="0" w:color="231F20"/>
              <w:left w:val="single" w:sz="4" w:space="0" w:color="231F20"/>
            </w:tcBorders>
            <w:vAlign w:val="center"/>
          </w:tcPr>
          <w:p w14:paraId="3A4D438E" w14:textId="77777777" w:rsidR="009112DC" w:rsidRDefault="009112DC" w:rsidP="00917A6A">
            <w:pPr>
              <w:pStyle w:val="TableParagraph"/>
              <w:widowControl w:val="0"/>
              <w:kinsoku/>
              <w:adjustRightInd/>
              <w:snapToGrid/>
              <w:spacing w:line="300" w:lineRule="exact"/>
              <w:jc w:val="both"/>
              <w:textAlignment w:val="auto"/>
              <w:rPr>
                <w:rFonts w:ascii="仿宋_GB2312" w:eastAsia="仿宋_GB2312" w:hAnsi="仿宋_GB2312" w:cs="仿宋_GB2312" w:hint="eastAsia"/>
              </w:rPr>
            </w:pPr>
            <w:r>
              <w:rPr>
                <w:rFonts w:ascii="仿宋_GB2312" w:eastAsia="仿宋_GB2312" w:hAnsi="仿宋_GB2312" w:cs="仿宋_GB2312" w:hint="eastAsia"/>
              </w:rPr>
              <w:t>市防指各成员单位根据防汛变化，可以向市防指提出启动相应应急响应建议，由指挥部组织相关单位召开会商会议决定。</w:t>
            </w:r>
          </w:p>
        </w:tc>
      </w:tr>
    </w:tbl>
    <w:p w14:paraId="54A3C99D" w14:textId="77777777" w:rsidR="009112DC" w:rsidRDefault="009112DC" w:rsidP="009112DC">
      <w:pPr>
        <w:pStyle w:val="a7"/>
        <w:tabs>
          <w:tab w:val="left" w:pos="1342"/>
        </w:tabs>
        <w:rPr>
          <w:rFonts w:ascii="Times New Roman" w:eastAsia="黑体" w:hAnsi="Times New Roman" w:cs="Times New Roman"/>
          <w:w w:val="105"/>
          <w:sz w:val="32"/>
          <w:szCs w:val="32"/>
          <w:lang w:eastAsia="zh-CN"/>
        </w:rPr>
      </w:pPr>
    </w:p>
    <w:p w14:paraId="722D6559" w14:textId="1CCC7215" w:rsidR="00B16A01" w:rsidRDefault="00B16A01" w:rsidP="009112DC">
      <w:pPr>
        <w:rPr>
          <w:lang w:eastAsia="zh-CN"/>
        </w:rPr>
      </w:pPr>
    </w:p>
    <w:sectPr w:rsidR="00B16A01" w:rsidSect="009112D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21CF" w14:textId="77777777" w:rsidR="00AB7F5E" w:rsidRDefault="00AB7F5E" w:rsidP="009112DC">
      <w:r>
        <w:separator/>
      </w:r>
    </w:p>
  </w:endnote>
  <w:endnote w:type="continuationSeparator" w:id="0">
    <w:p w14:paraId="5DDB0018" w14:textId="77777777" w:rsidR="00AB7F5E" w:rsidRDefault="00AB7F5E" w:rsidP="0091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39F" w14:textId="43ECEB9B" w:rsidR="009112DC" w:rsidRDefault="009112DC">
    <w:pPr>
      <w:pStyle w:val="a7"/>
      <w:spacing w:line="14" w:lineRule="auto"/>
      <w:rPr>
        <w:sz w:val="20"/>
      </w:rPr>
    </w:pPr>
    <w:r>
      <w:rPr>
        <w:noProof/>
      </w:rPr>
      <mc:AlternateContent>
        <mc:Choice Requires="wps">
          <w:drawing>
            <wp:anchor distT="0" distB="0" distL="114300" distR="114300" simplePos="0" relativeHeight="251670528" behindDoc="0" locked="0" layoutInCell="1" allowOverlap="1" wp14:anchorId="78C6A77F" wp14:editId="5A1DCA76">
              <wp:simplePos x="0" y="0"/>
              <wp:positionH relativeFrom="margin">
                <wp:align>center</wp:align>
              </wp:positionH>
              <wp:positionV relativeFrom="paragraph">
                <wp:posOffset>0</wp:posOffset>
              </wp:positionV>
              <wp:extent cx="676275" cy="20447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04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B907B1" w14:textId="77777777" w:rsidR="009112DC" w:rsidRDefault="009112DC">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C6A77F" id="_x0000_t202" coordsize="21600,21600" o:spt="202" path="m,l,21600r21600,l21600,xe">
              <v:stroke joinstyle="miter"/>
              <v:path gradientshapeok="t" o:connecttype="rect"/>
            </v:shapetype>
            <v:shape id="文本框 5" o:spid="_x0000_s1026" type="#_x0000_t202" style="position:absolute;margin-left:0;margin-top:0;width:53.25pt;height:16.1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" filled="f" stroked="f">
              <v:textbox style="mso-fit-shape-to-text:t" inset="0,0,0,0">
                <w:txbxContent>
                  <w:p w14:paraId="26B907B1" w14:textId="77777777" w:rsidR="009112DC" w:rsidRDefault="009112DC">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53</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1" locked="0" layoutInCell="1" allowOverlap="1" wp14:anchorId="7814A925" wp14:editId="7AA772A5">
              <wp:simplePos x="0" y="0"/>
              <wp:positionH relativeFrom="page">
                <wp:posOffset>7147560</wp:posOffset>
              </wp:positionH>
              <wp:positionV relativeFrom="page">
                <wp:posOffset>9841865</wp:posOffset>
              </wp:positionV>
              <wp:extent cx="191770" cy="219710"/>
              <wp:effectExtent l="0" t="0" r="17780" b="889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19710"/>
                      </a:xfrm>
                      <a:prstGeom prst="rect">
                        <a:avLst/>
                      </a:prstGeom>
                      <a:noFill/>
                      <a:ln>
                        <a:noFill/>
                      </a:ln>
                    </wps:spPr>
                    <wps:txbx>
                      <w:txbxContent>
                        <w:p w14:paraId="097C47FD" w14:textId="77777777" w:rsidR="009112DC" w:rsidRDefault="009112DC">
                          <w:pPr>
                            <w:spacing w:before="13" w:line="332" w:lineRule="exact"/>
                            <w:ind w:left="20"/>
                            <w:rPr>
                              <w:rFonts w:ascii="宋体" w:hAnsi="宋体"/>
                              <w:sz w:val="26"/>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7814A925" id="文本框 4" o:spid="_x0000_s1027" type="#_x0000_t202" style="position:absolute;margin-left:562.8pt;margin-top:774.95pt;width:15.1pt;height:17.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" filled="f" stroked="f">
              <v:textbox inset="0,0,0,0">
                <w:txbxContent>
                  <w:p w14:paraId="097C47FD" w14:textId="77777777" w:rsidR="009112DC" w:rsidRDefault="009112DC">
                    <w:pPr>
                      <w:spacing w:before="13" w:line="332" w:lineRule="exact"/>
                      <w:ind w:left="20"/>
                      <w:rPr>
                        <w:rFonts w:ascii="宋体" w:hAnsi="宋体"/>
                        <w:sz w:val="26"/>
                      </w:rPr>
                    </w:pP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4BA9F3F1" wp14:editId="6037E712">
              <wp:simplePos x="0" y="0"/>
              <wp:positionH relativeFrom="page">
                <wp:posOffset>7768590</wp:posOffset>
              </wp:positionH>
              <wp:positionV relativeFrom="page">
                <wp:posOffset>9841865</wp:posOffset>
              </wp:positionV>
              <wp:extent cx="191770" cy="219710"/>
              <wp:effectExtent l="0" t="0" r="17780" b="889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19710"/>
                      </a:xfrm>
                      <a:prstGeom prst="rect">
                        <a:avLst/>
                      </a:prstGeom>
                      <a:noFill/>
                      <a:ln>
                        <a:noFill/>
                      </a:ln>
                    </wps:spPr>
                    <wps:txbx>
                      <w:txbxContent>
                        <w:p w14:paraId="2C91C6B7" w14:textId="77777777" w:rsidR="009112DC" w:rsidRDefault="009112DC">
                          <w:pPr>
                            <w:spacing w:before="13" w:line="332" w:lineRule="exact"/>
                            <w:ind w:left="20"/>
                            <w:rPr>
                              <w:rFonts w:ascii="宋体" w:hAnsi="宋体"/>
                              <w:sz w:val="26"/>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4BA9F3F1" id="文本框 3" o:spid="_x0000_s1028" type="#_x0000_t202" style="position:absolute;margin-left:611.7pt;margin-top:774.95pt;width:15.1pt;height:17.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" filled="f" stroked="f">
              <v:textbox inset="0,0,0,0">
                <w:txbxContent>
                  <w:p w14:paraId="2C91C6B7" w14:textId="77777777" w:rsidR="009112DC" w:rsidRDefault="009112DC">
                    <w:pPr>
                      <w:spacing w:before="13" w:line="332" w:lineRule="exact"/>
                      <w:ind w:left="20"/>
                      <w:rPr>
                        <w:rFonts w:ascii="宋体" w:hAnsi="宋体"/>
                        <w:sz w:val="26"/>
                      </w:rPr>
                    </w:pP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20035FF" wp14:editId="7215A12D">
              <wp:simplePos x="0" y="0"/>
              <wp:positionH relativeFrom="page">
                <wp:posOffset>7388225</wp:posOffset>
              </wp:positionH>
              <wp:positionV relativeFrom="page">
                <wp:posOffset>9869805</wp:posOffset>
              </wp:positionV>
              <wp:extent cx="344170" cy="219710"/>
              <wp:effectExtent l="0" t="0" r="1778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219710"/>
                      </a:xfrm>
                      <a:prstGeom prst="rect">
                        <a:avLst/>
                      </a:prstGeom>
                      <a:noFill/>
                      <a:ln>
                        <a:noFill/>
                      </a:ln>
                    </wps:spPr>
                    <wps:txbx>
                      <w:txbxContent>
                        <w:p w14:paraId="48541B65" w14:textId="77777777" w:rsidR="009112DC" w:rsidRDefault="009112DC">
                          <w:pPr>
                            <w:spacing w:before="13" w:line="332" w:lineRule="exact"/>
                            <w:ind w:left="60"/>
                            <w:rPr>
                              <w:rFonts w:ascii="宋体" w:eastAsia="方正书宋_GBK"/>
                              <w:sz w:val="26"/>
                              <w:lang w:eastAsia="zh-CN"/>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520035FF" id="文本框 2" o:spid="_x0000_s1029" type="#_x0000_t202" style="position:absolute;margin-left:581.75pt;margin-top:777.15pt;width:27.1pt;height:17.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" filled="f" stroked="f">
              <v:textbox inset="0,0,0,0">
                <w:txbxContent>
                  <w:p w14:paraId="48541B65" w14:textId="77777777" w:rsidR="009112DC" w:rsidRDefault="009112DC">
                    <w:pPr>
                      <w:spacing w:before="13" w:line="332" w:lineRule="exact"/>
                      <w:ind w:left="60"/>
                      <w:rPr>
                        <w:rFonts w:ascii="宋体" w:eastAsia="方正书宋_GBK"/>
                        <w:sz w:val="26"/>
                        <w:lang w:eastAsia="zh-CN"/>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411A" w14:textId="278EC1D0" w:rsidR="009112DC" w:rsidRDefault="009112DC">
    <w:pPr>
      <w:pStyle w:val="a7"/>
      <w:spacing w:line="14" w:lineRule="auto"/>
      <w:rPr>
        <w:sz w:val="20"/>
      </w:rPr>
    </w:pPr>
    <w:r>
      <w:rPr>
        <w:noProof/>
      </w:rPr>
      <mc:AlternateContent>
        <mc:Choice Requires="wps">
          <w:drawing>
            <wp:anchor distT="0" distB="0" distL="114300" distR="114300" simplePos="0" relativeHeight="251669504" behindDoc="0" locked="0" layoutInCell="1" allowOverlap="1" wp14:anchorId="6D24627B" wp14:editId="3EC50648">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6526" w14:textId="77777777" w:rsidR="009112DC" w:rsidRDefault="009112DC">
                          <w:pPr>
                            <w:pStyle w:val="a5"/>
                          </w:pPr>
                          <w:r>
                            <w:t xml:space="preserve">— </w:t>
                          </w:r>
                          <w:r>
                            <w:fldChar w:fldCharType="begin"/>
                          </w:r>
                          <w:r>
                            <w:instrText xml:space="preserve"> PAGE  \* MERGEFORMAT </w:instrText>
                          </w:r>
                          <w:r>
                            <w:fldChar w:fldCharType="separate"/>
                          </w:r>
                          <w:r>
                            <w:t>53</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4627B" id="_x0000_t202" coordsize="21600,21600" o:spt="202" path="m,l,21600r21600,l21600,xe">
              <v:stroke joinstyle="miter"/>
              <v:path gradientshapeok="t" o:connecttype="rect"/>
            </v:shapetype>
            <v:shape id="文本框 1" o:spid="_x0000_s1030" type="#_x0000_t202" style="position:absolute;margin-left:92.8pt;margin-top:0;width:2in;height:2in;z-index:2516695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NgXVt/wAQAAvQMAAA4AAAAAAAAAAAAAAAAALgIAAGRycy9lMm9Eb2MueG1s&#10;UEsBAi0AFAAGAAgAAAAhAAxK8O7WAAAABQEAAA8AAAAAAAAAAAAAAAAASgQAAGRycy9kb3ducmV2&#10;LnhtbFBLBQYAAAAABAAEAPMAAABNBQAAAAA=&#10;" filled="f" stroked="f">
              <v:textbox style="mso-fit-shape-to-text:t" inset="0,0,0,0">
                <w:txbxContent>
                  <w:p w14:paraId="23CB6526" w14:textId="77777777" w:rsidR="009112DC" w:rsidRDefault="009112DC">
                    <w:pPr>
                      <w:pStyle w:val="a5"/>
                    </w:pPr>
                    <w:r>
                      <w:t xml:space="preserve">— </w:t>
                    </w:r>
                    <w:r>
                      <w:fldChar w:fldCharType="begin"/>
                    </w:r>
                    <w:r>
                      <w:instrText xml:space="preserve"> PAGE  \* MERGEFORMAT </w:instrText>
                    </w:r>
                    <w:r>
                      <w:fldChar w:fldCharType="separate"/>
                    </w:r>
                    <w:r>
                      <w:t>53</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62336" behindDoc="1" locked="0" layoutInCell="1" allowOverlap="1" wp14:anchorId="27E309A3" wp14:editId="6DEC1B1A">
              <wp:simplePos x="0" y="0"/>
              <wp:positionH relativeFrom="page">
                <wp:posOffset>7147560</wp:posOffset>
              </wp:positionH>
              <wp:positionV relativeFrom="page">
                <wp:posOffset>9841865</wp:posOffset>
              </wp:positionV>
              <wp:extent cx="191770" cy="219710"/>
              <wp:effectExtent l="0" t="0" r="17780" b="889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19710"/>
                      </a:xfrm>
                      <a:prstGeom prst="rect">
                        <a:avLst/>
                      </a:prstGeom>
                      <a:noFill/>
                      <a:ln>
                        <a:noFill/>
                      </a:ln>
                    </wps:spPr>
                    <wps:txbx>
                      <w:txbxContent>
                        <w:p w14:paraId="4C71C988" w14:textId="77777777" w:rsidR="009112DC" w:rsidRDefault="009112DC">
                          <w:pPr>
                            <w:spacing w:before="13" w:line="332" w:lineRule="exact"/>
                            <w:ind w:left="20"/>
                            <w:rPr>
                              <w:rFonts w:ascii="宋体" w:hAnsi="宋体"/>
                              <w:sz w:val="26"/>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27E309A3" id="文本框 7" o:spid="_x0000_s1031" type="#_x0000_t202" style="position:absolute;margin-left:562.8pt;margin-top:774.95pt;width:15.1pt;height:17.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" filled="f" stroked="f">
              <v:textbox inset="0,0,0,0">
                <w:txbxContent>
                  <w:p w14:paraId="4C71C988" w14:textId="77777777" w:rsidR="009112DC" w:rsidRDefault="009112DC">
                    <w:pPr>
                      <w:spacing w:before="13" w:line="332" w:lineRule="exact"/>
                      <w:ind w:left="20"/>
                      <w:rPr>
                        <w:rFonts w:ascii="宋体" w:hAnsi="宋体"/>
                        <w:sz w:val="26"/>
                      </w:rPr>
                    </w:pP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BF57CEB" wp14:editId="35201333">
              <wp:simplePos x="0" y="0"/>
              <wp:positionH relativeFrom="page">
                <wp:posOffset>7768590</wp:posOffset>
              </wp:positionH>
              <wp:positionV relativeFrom="page">
                <wp:posOffset>9841865</wp:posOffset>
              </wp:positionV>
              <wp:extent cx="191770" cy="219710"/>
              <wp:effectExtent l="0" t="0" r="17780" b="889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19710"/>
                      </a:xfrm>
                      <a:prstGeom prst="rect">
                        <a:avLst/>
                      </a:prstGeom>
                      <a:noFill/>
                      <a:ln>
                        <a:noFill/>
                      </a:ln>
                    </wps:spPr>
                    <wps:txbx>
                      <w:txbxContent>
                        <w:p w14:paraId="6541648E" w14:textId="77777777" w:rsidR="009112DC" w:rsidRDefault="009112DC">
                          <w:pPr>
                            <w:spacing w:before="13" w:line="332" w:lineRule="exact"/>
                            <w:ind w:left="20"/>
                            <w:rPr>
                              <w:rFonts w:ascii="宋体" w:hAnsi="宋体"/>
                              <w:sz w:val="26"/>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4BF57CEB" id="文本框 8" o:spid="_x0000_s1032" type="#_x0000_t202" style="position:absolute;margin-left:611.7pt;margin-top:774.95pt;width:15.1pt;height:1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" filled="f" stroked="f">
              <v:textbox inset="0,0,0,0">
                <w:txbxContent>
                  <w:p w14:paraId="6541648E" w14:textId="77777777" w:rsidR="009112DC" w:rsidRDefault="009112DC">
                    <w:pPr>
                      <w:spacing w:before="13" w:line="332" w:lineRule="exact"/>
                      <w:ind w:left="20"/>
                      <w:rPr>
                        <w:rFonts w:ascii="宋体" w:hAnsi="宋体"/>
                        <w:sz w:val="26"/>
                      </w:rPr>
                    </w:pP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23C620E2" wp14:editId="0CBE9EEE">
              <wp:simplePos x="0" y="0"/>
              <wp:positionH relativeFrom="page">
                <wp:posOffset>7388225</wp:posOffset>
              </wp:positionH>
              <wp:positionV relativeFrom="page">
                <wp:posOffset>9869805</wp:posOffset>
              </wp:positionV>
              <wp:extent cx="344170" cy="219710"/>
              <wp:effectExtent l="0" t="0" r="17780" b="889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219710"/>
                      </a:xfrm>
                      <a:prstGeom prst="rect">
                        <a:avLst/>
                      </a:prstGeom>
                      <a:noFill/>
                      <a:ln>
                        <a:noFill/>
                      </a:ln>
                    </wps:spPr>
                    <wps:txbx>
                      <w:txbxContent>
                        <w:p w14:paraId="6AF663DF" w14:textId="77777777" w:rsidR="009112DC" w:rsidRDefault="009112DC">
                          <w:pPr>
                            <w:spacing w:before="13" w:line="332" w:lineRule="exact"/>
                            <w:ind w:left="60"/>
                            <w:rPr>
                              <w:rFonts w:ascii="宋体" w:eastAsia="方正书宋_GBK"/>
                              <w:sz w:val="26"/>
                              <w:lang w:eastAsia="zh-CN"/>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w14:anchorId="23C620E2" id="文本框 12" o:spid="_x0000_s1033" type="#_x0000_t202" style="position:absolute;margin-left:581.75pt;margin-top:777.15pt;width:27.1pt;height:17.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" filled="f" stroked="f">
              <v:textbox inset="0,0,0,0">
                <w:txbxContent>
                  <w:p w14:paraId="6AF663DF" w14:textId="77777777" w:rsidR="009112DC" w:rsidRDefault="009112DC">
                    <w:pPr>
                      <w:spacing w:before="13" w:line="332" w:lineRule="exact"/>
                      <w:ind w:left="60"/>
                      <w:rPr>
                        <w:rFonts w:ascii="宋体" w:eastAsia="方正书宋_GBK"/>
                        <w:sz w:val="26"/>
                        <w:lang w:eastAsia="zh-C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498A" w14:textId="77777777" w:rsidR="00AB7F5E" w:rsidRDefault="00AB7F5E" w:rsidP="009112DC">
      <w:r>
        <w:separator/>
      </w:r>
    </w:p>
  </w:footnote>
  <w:footnote w:type="continuationSeparator" w:id="0">
    <w:p w14:paraId="1A0BCBBA" w14:textId="77777777" w:rsidR="00AB7F5E" w:rsidRDefault="00AB7F5E" w:rsidP="00911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68"/>
    <w:rsid w:val="009112DC"/>
    <w:rsid w:val="00956168"/>
    <w:rsid w:val="00AB7F5E"/>
    <w:rsid w:val="00AF2434"/>
    <w:rsid w:val="00B16A01"/>
    <w:rsid w:val="00B6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42A02"/>
  <w15:chartTrackingRefBased/>
  <w15:docId w15:val="{729F0785-D955-4603-BC9B-F3FEF2AB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112DC"/>
    <w:pPr>
      <w:kinsoku w:val="0"/>
      <w:autoSpaceDE w:val="0"/>
      <w:autoSpaceDN w:val="0"/>
      <w:adjustRightInd w:val="0"/>
      <w:snapToGrid w:val="0"/>
      <w:textAlignment w:val="baseline"/>
    </w:pPr>
    <w:rPr>
      <w:rFonts w:ascii="Arial" w:eastAsia="Arial" w:hAnsi="Arial" w:cs="Arial"/>
      <w:snapToGrid w:val="0"/>
      <w:color w:val="000000"/>
      <w:kern w:val="0"/>
      <w:sz w:val="21"/>
      <w:szCs w:val="21"/>
      <w:lang w:eastAsia="en-US"/>
    </w:rPr>
  </w:style>
  <w:style w:type="paragraph" w:styleId="1">
    <w:name w:val="heading 1"/>
    <w:basedOn w:val="a"/>
    <w:next w:val="a"/>
    <w:link w:val="10"/>
    <w:uiPriority w:val="9"/>
    <w:qFormat/>
    <w:rsid w:val="009112D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2DC"/>
    <w:pPr>
      <w:widowControl w:val="0"/>
      <w:pBdr>
        <w:bottom w:val="single" w:sz="6" w:space="1" w:color="auto"/>
      </w:pBdr>
      <w:tabs>
        <w:tab w:val="center" w:pos="4153"/>
        <w:tab w:val="right" w:pos="8306"/>
      </w:tabs>
      <w:kinsoku/>
      <w:autoSpaceDE/>
      <w:autoSpaceDN/>
      <w:adjustRightInd/>
      <w:jc w:val="center"/>
      <w:textAlignment w:val="auto"/>
    </w:pPr>
    <w:rPr>
      <w:rFonts w:ascii="Calibri" w:eastAsia="宋体" w:hAnsi="Calibri" w:cs="Times New Roman"/>
      <w:snapToGrid/>
      <w:color w:val="auto"/>
      <w:kern w:val="2"/>
      <w:sz w:val="18"/>
      <w:szCs w:val="18"/>
      <w:lang w:eastAsia="zh-CN"/>
    </w:rPr>
  </w:style>
  <w:style w:type="character" w:customStyle="1" w:styleId="a4">
    <w:name w:val="页眉 字符"/>
    <w:basedOn w:val="a0"/>
    <w:link w:val="a3"/>
    <w:uiPriority w:val="99"/>
    <w:rsid w:val="009112DC"/>
    <w:rPr>
      <w:sz w:val="18"/>
      <w:szCs w:val="18"/>
    </w:rPr>
  </w:style>
  <w:style w:type="paragraph" w:styleId="a5">
    <w:name w:val="footer"/>
    <w:basedOn w:val="a"/>
    <w:link w:val="a6"/>
    <w:unhideWhenUsed/>
    <w:qFormat/>
    <w:rsid w:val="009112DC"/>
    <w:pPr>
      <w:widowControl w:val="0"/>
      <w:tabs>
        <w:tab w:val="center" w:pos="4153"/>
        <w:tab w:val="right" w:pos="8306"/>
      </w:tabs>
      <w:kinsoku/>
      <w:autoSpaceDE/>
      <w:autoSpaceDN/>
      <w:adjustRightInd/>
      <w:textAlignment w:val="auto"/>
    </w:pPr>
    <w:rPr>
      <w:rFonts w:ascii="Calibri" w:eastAsia="宋体" w:hAnsi="Calibri" w:cs="Times New Roman"/>
      <w:snapToGrid/>
      <w:color w:val="auto"/>
      <w:kern w:val="2"/>
      <w:sz w:val="18"/>
      <w:szCs w:val="18"/>
      <w:lang w:eastAsia="zh-CN"/>
    </w:rPr>
  </w:style>
  <w:style w:type="character" w:customStyle="1" w:styleId="a6">
    <w:name w:val="页脚 字符"/>
    <w:basedOn w:val="a0"/>
    <w:link w:val="a5"/>
    <w:uiPriority w:val="99"/>
    <w:rsid w:val="009112DC"/>
    <w:rPr>
      <w:sz w:val="18"/>
      <w:szCs w:val="18"/>
    </w:rPr>
  </w:style>
  <w:style w:type="paragraph" w:styleId="a7">
    <w:name w:val="Body Text"/>
    <w:basedOn w:val="a"/>
    <w:link w:val="a8"/>
    <w:semiHidden/>
    <w:qFormat/>
    <w:rsid w:val="009112DC"/>
  </w:style>
  <w:style w:type="character" w:customStyle="1" w:styleId="a8">
    <w:name w:val="正文文本 字符"/>
    <w:basedOn w:val="a0"/>
    <w:link w:val="a7"/>
    <w:semiHidden/>
    <w:rsid w:val="009112DC"/>
    <w:rPr>
      <w:rFonts w:ascii="Arial" w:eastAsia="Arial" w:hAnsi="Arial" w:cs="Arial"/>
      <w:snapToGrid w:val="0"/>
      <w:color w:val="000000"/>
      <w:kern w:val="0"/>
      <w:sz w:val="21"/>
      <w:szCs w:val="21"/>
      <w:lang w:eastAsia="en-US"/>
    </w:rPr>
  </w:style>
  <w:style w:type="paragraph" w:styleId="a9">
    <w:name w:val="List"/>
    <w:basedOn w:val="a"/>
    <w:qFormat/>
    <w:rsid w:val="009112DC"/>
    <w:pPr>
      <w:contextualSpacing/>
      <w:jc w:val="center"/>
    </w:pPr>
  </w:style>
  <w:style w:type="paragraph" w:customStyle="1" w:styleId="TableParagraph">
    <w:name w:val="Table Paragraph"/>
    <w:basedOn w:val="a"/>
    <w:uiPriority w:val="1"/>
    <w:qFormat/>
    <w:rsid w:val="009112DC"/>
    <w:rPr>
      <w:rFonts w:ascii="方正书宋_GBK" w:eastAsia="方正书宋_GBK" w:hAnsi="方正书宋_GBK" w:cs="方正书宋_GBK"/>
      <w:lang w:eastAsia="zh-CN"/>
    </w:rPr>
  </w:style>
  <w:style w:type="character" w:customStyle="1" w:styleId="10">
    <w:name w:val="标题 1 字符"/>
    <w:basedOn w:val="a0"/>
    <w:link w:val="1"/>
    <w:uiPriority w:val="9"/>
    <w:rsid w:val="009112DC"/>
    <w:rPr>
      <w:rFonts w:ascii="Arial" w:eastAsia="Arial" w:hAnsi="Arial" w:cs="Arial"/>
      <w:b/>
      <w:bCs/>
      <w:snapToGrid w:val="0"/>
      <w:color w:val="000000"/>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5AF7-24B1-4C39-9747-D9A4130B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1016</Words>
  <Characters>5792</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2024-10-17T04:02:00Z</dcterms:created>
  <dcterms:modified xsi:type="dcterms:W3CDTF">2024-10-17T04:03:00Z</dcterms:modified>
</cp:coreProperties>
</file>