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7C510">
      <w:pPr>
        <w:pStyle w:val="5"/>
        <w:snapToGrid w:val="0"/>
        <w:spacing w:line="560" w:lineRule="exact"/>
        <w:jc w:val="both"/>
        <w:rPr>
          <w:rFonts w:hint="default" w:ascii="Times New Roman" w:hAnsi="Times New Roman" w:eastAsia="黑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附件</w:t>
      </w:r>
      <w:r>
        <w:rPr>
          <w:rFonts w:hint="eastAsia"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w:t>
      </w:r>
    </w:p>
    <w:p w14:paraId="5300AF4C">
      <w:pPr>
        <w:tabs>
          <w:tab w:val="left" w:pos="6750"/>
        </w:tabs>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bookmarkStart w:id="0" w:name="_GoBack"/>
      <w:bookmarkEnd w:id="0"/>
    </w:p>
    <w:p w14:paraId="65B060DE">
      <w:pPr>
        <w:spacing w:line="480" w:lineRule="auto"/>
        <w:jc w:val="both"/>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14:paraId="44FF975B">
      <w:pPr>
        <w:pStyle w:val="2"/>
        <w:rPr>
          <w:rFonts w:hint="default" w:ascii="Times New Roman" w:hAnsi="Times New Roman" w:cs="Times New Roman"/>
          <w:color w:val="000000" w:themeColor="text1"/>
          <w14:textFill>
            <w14:solidFill>
              <w14:schemeClr w14:val="tx1"/>
            </w14:solidFill>
          </w14:textFill>
        </w:rPr>
      </w:pPr>
    </w:p>
    <w:p w14:paraId="4F69A06B">
      <w:pPr>
        <w:pStyle w:val="2"/>
        <w:rPr>
          <w:rFonts w:hint="default" w:ascii="Times New Roman" w:hAnsi="Times New Roman" w:cs="Times New Roman"/>
          <w:color w:val="000000" w:themeColor="text1"/>
          <w14:textFill>
            <w14:solidFill>
              <w14:schemeClr w14:val="tx1"/>
            </w14:solidFill>
          </w14:textFill>
        </w:rPr>
      </w:pPr>
    </w:p>
    <w:p w14:paraId="49ADED4B">
      <w:pPr>
        <w:snapToGrid w:val="0"/>
        <w:spacing w:line="560" w:lineRule="exact"/>
        <w:jc w:val="center"/>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eastAsia="zh-CN"/>
          <w14:textFill>
            <w14:solidFill>
              <w14:schemeClr w14:val="tx1"/>
            </w14:solidFill>
          </w14:textFill>
        </w:rPr>
        <w:t>乌海</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市</w:t>
      </w:r>
      <w:r>
        <w:rPr>
          <w:rFonts w:hint="eastAsia" w:eastAsia="方正小标宋简体" w:cs="Times New Roman"/>
          <w:b w:val="0"/>
          <w:bCs/>
          <w:color w:val="000000" w:themeColor="text1"/>
          <w:sz w:val="44"/>
          <w:szCs w:val="44"/>
          <w:lang w:eastAsia="zh-CN"/>
          <w14:textFill>
            <w14:solidFill>
              <w14:schemeClr w14:val="tx1"/>
            </w14:solidFill>
          </w14:textFill>
        </w:rPr>
        <w:t>住宅小区</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管理规约</w:t>
      </w:r>
      <w:r>
        <w:rPr>
          <w:rFonts w:hint="eastAsia" w:ascii="Times New Roman" w:hAnsi="Times New Roman" w:eastAsia="方正小标宋简体" w:cs="Times New Roman"/>
          <w:b w:val="0"/>
          <w:bCs/>
          <w:color w:val="000000" w:themeColor="text1"/>
          <w:sz w:val="44"/>
          <w:szCs w:val="44"/>
          <w:lang w:eastAsia="zh-CN"/>
          <w14:textFill>
            <w14:solidFill>
              <w14:schemeClr w14:val="tx1"/>
            </w14:solidFill>
          </w14:textFill>
        </w:rPr>
        <w:t>（简版）</w:t>
      </w:r>
    </w:p>
    <w:p w14:paraId="3B03E305">
      <w:pPr>
        <w:suppressAutoHyphens/>
        <w:snapToGrid w:val="0"/>
        <w:spacing w:line="560"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（示范文本）</w:t>
      </w:r>
    </w:p>
    <w:p w14:paraId="67F47602">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005C167">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114A2F9">
      <w:pPr>
        <w:pStyle w:val="2"/>
        <w:ind w:left="0" w:leftChars="0" w:firstLine="0" w:firstLineChars="0"/>
        <w:rPr>
          <w:rFonts w:hint="default" w:ascii="Times New Roman" w:hAnsi="Times New Roman" w:eastAsia="仿宋_GB2312" w:cs="Times New Roman"/>
          <w:color w:val="000000" w:themeColor="text1"/>
          <w:sz w:val="32"/>
          <w:szCs w:val="32"/>
          <w14:textFill>
            <w14:solidFill>
              <w14:schemeClr w14:val="tx1"/>
            </w14:solidFill>
          </w14:textFill>
        </w:rPr>
      </w:pPr>
    </w:p>
    <w:p w14:paraId="2EFF0DC4">
      <w:pPr>
        <w:rPr>
          <w:rFonts w:hint="default" w:ascii="Times New Roman" w:hAnsi="Times New Roman" w:eastAsia="仿宋_GB2312" w:cs="Times New Roman"/>
          <w:color w:val="000000" w:themeColor="text1"/>
          <w:sz w:val="32"/>
          <w:szCs w:val="32"/>
          <w14:textFill>
            <w14:solidFill>
              <w14:schemeClr w14:val="tx1"/>
            </w14:solidFill>
          </w14:textFill>
        </w:rPr>
      </w:pPr>
    </w:p>
    <w:p w14:paraId="50DA0EA2">
      <w:pPr>
        <w:pStyle w:val="2"/>
        <w:rPr>
          <w:rFonts w:hint="default" w:ascii="Times New Roman" w:hAnsi="Times New Roman" w:cs="Times New Roman"/>
          <w:color w:val="000000" w:themeColor="text1"/>
          <w14:textFill>
            <w14:solidFill>
              <w14:schemeClr w14:val="tx1"/>
            </w14:solidFill>
          </w14:textFill>
        </w:rPr>
      </w:pPr>
    </w:p>
    <w:p w14:paraId="7ABDFE3D">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51F853A">
      <w:pPr>
        <w:pStyle w:val="2"/>
        <w:rPr>
          <w:rFonts w:hint="default" w:ascii="Times New Roman" w:hAnsi="Times New Roman" w:cs="Times New Roman"/>
          <w:color w:val="000000" w:themeColor="text1"/>
          <w14:textFill>
            <w14:solidFill>
              <w14:schemeClr w14:val="tx1"/>
            </w14:solidFill>
          </w14:textFill>
        </w:rPr>
      </w:pPr>
    </w:p>
    <w:p w14:paraId="2A7DD348">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C0C6B59">
      <w:pPr>
        <w:snapToGrid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乌海</w:t>
      </w:r>
      <w:r>
        <w:rPr>
          <w:rFonts w:hint="default" w:ascii="Times New Roman" w:hAnsi="Times New Roman" w:eastAsia="仿宋_GB2312" w:cs="Times New Roman"/>
          <w:color w:val="000000" w:themeColor="text1"/>
          <w:sz w:val="32"/>
          <w:szCs w:val="32"/>
          <w14:textFill>
            <w14:solidFill>
              <w14:schemeClr w14:val="tx1"/>
            </w14:solidFill>
          </w14:textFill>
        </w:rPr>
        <w:t>市住房和城乡建设局</w:t>
      </w:r>
    </w:p>
    <w:p w14:paraId="57862001">
      <w:pPr>
        <w:pStyle w:val="3"/>
        <w:ind w:firstLine="3200" w:firstLineChars="1000"/>
        <w:rPr>
          <w:rFonts w:hint="default" w:ascii="Times New Roman" w:hAnsi="Times New Roman" w:eastAsia="仿宋_GB2312" w:cs="Times New Roman"/>
          <w:b/>
          <w:bCs/>
          <w:color w:val="000000" w:themeColor="text1"/>
          <w:kern w:val="44"/>
          <w:lang w:val="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二零二</w:t>
      </w:r>
      <w:r>
        <w:rPr>
          <w:rFonts w:hint="eastAsia" w:ascii="Times New Roman" w:hAnsi="Times New Roman" w:eastAsia="仿宋_GB2312" w:cs="Times New Roman"/>
          <w:color w:val="000000" w:themeColor="text1"/>
          <w:lang w:eastAsia="zh-CN"/>
          <w14:textFill>
            <w14:solidFill>
              <w14:schemeClr w14:val="tx1"/>
            </w14:solidFill>
          </w14:textFill>
        </w:rPr>
        <w:t>五</w:t>
      </w:r>
      <w:r>
        <w:rPr>
          <w:rFonts w:hint="default" w:ascii="Times New Roman" w:hAnsi="Times New Roman" w:eastAsia="仿宋_GB2312" w:cs="Times New Roman"/>
          <w:color w:val="000000" w:themeColor="text1"/>
          <w14:textFill>
            <w14:solidFill>
              <w14:schemeClr w14:val="tx1"/>
            </w14:solidFill>
          </w14:textFill>
        </w:rPr>
        <w:t>年</w:t>
      </w:r>
      <w:r>
        <w:rPr>
          <w:rFonts w:hint="eastAsia" w:ascii="Times New Roman" w:hAnsi="Times New Roman" w:eastAsia="仿宋_GB2312" w:cs="Times New Roman"/>
          <w:color w:val="000000" w:themeColor="text1"/>
          <w:lang w:val="en-US" w:eastAsia="zh-CN"/>
          <w14:textFill>
            <w14:solidFill>
              <w14:schemeClr w14:val="tx1"/>
            </w14:solidFill>
          </w14:textFill>
        </w:rPr>
        <w:t>三</w:t>
      </w:r>
      <w:r>
        <w:rPr>
          <w:rFonts w:hint="default" w:ascii="Times New Roman" w:hAnsi="Times New Roman" w:eastAsia="仿宋_GB2312" w:cs="Times New Roman"/>
          <w:color w:val="000000" w:themeColor="text1"/>
          <w14:textFill>
            <w14:solidFill>
              <w14:schemeClr w14:val="tx1"/>
            </w14:solidFill>
          </w14:textFill>
        </w:rPr>
        <w:t>月</w:t>
      </w:r>
    </w:p>
    <w:p w14:paraId="29F50942">
      <w:pPr>
        <w:snapToGrid w:val="0"/>
        <w:spacing w:line="560" w:lineRule="exact"/>
        <w:jc w:val="center"/>
        <w:rPr>
          <w:rFonts w:hint="default" w:ascii="Times New Roman" w:hAnsi="Times New Roman" w:eastAsia="仿宋_GB2312" w:cs="Times New Roman"/>
          <w:b/>
          <w:bCs/>
          <w:color w:val="000000" w:themeColor="text1"/>
          <w:kern w:val="44"/>
          <w:sz w:val="32"/>
          <w:szCs w:val="32"/>
          <w:lang w:val="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2098" w:right="1474" w:bottom="1984" w:left="1587" w:header="851" w:footer="1587" w:gutter="0"/>
          <w:pgNumType w:fmt="decimal" w:start="1"/>
          <w:cols w:space="0" w:num="1"/>
          <w:titlePg/>
          <w:docGrid w:type="lines" w:linePitch="315" w:charSpace="0"/>
        </w:sectPr>
      </w:pPr>
    </w:p>
    <w:p w14:paraId="0DF1A270">
      <w:pPr>
        <w:spacing w:line="480" w:lineRule="auto"/>
        <w:jc w:val="cente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使</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用</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说</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明</w:t>
      </w:r>
    </w:p>
    <w:p w14:paraId="4BB02927">
      <w:pPr>
        <w:snapToGrid w:val="0"/>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14:paraId="601FC40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本示范文本适用于业主大会筹备组、业主委员会制定、修改本物业管理区域《住宅小区管理规约》和建设单位制定《住宅小区临时管理规约》时参考。</w:t>
      </w:r>
    </w:p>
    <w:p w14:paraId="620B36EE">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二、《住宅小区管理规约》或《住宅小区临时管理规约》的名称为：物业管理区域名称+管理规约（或临时管理规约）。物业管理区域名称和地址，以地名管理部门核实为准。</w:t>
      </w:r>
    </w:p>
    <w:p w14:paraId="4BB93E2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制定《住宅小区管理规约》或《住宅小区临时管理规约》时，应当对示范文本中的“</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”填写实际的词语、数据等。</w:t>
      </w:r>
    </w:p>
    <w:p w14:paraId="2ED47207">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物业管理区域的四至边界、总占地面积、房屋总建筑面积，以及物业管理办公用房、物业管理经营用房的面积和位置等要素，以本物业管理区域划分确定文件或者建设工程规则许可证记载为准，不得擅自调整和改变。</w:t>
      </w:r>
    </w:p>
    <w:p w14:paraId="490AC48F">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制定《住宅小区管理规约》或《住宅小区临时管理规约》时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可以结合物业管理区域实际，对示范文本中的条款进行删减、补充，对条款内容进行修改，但不得违反法律、法规和国家、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14:textFill>
            <w14:solidFill>
              <w14:schemeClr w14:val="tx1"/>
            </w14:solidFill>
          </w14:textFill>
        </w:rPr>
        <w:t>、市有关规定。</w:t>
      </w:r>
    </w:p>
    <w:p w14:paraId="0753316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《住宅小区临时管理规约》的制定主体是建设单位，并处于前期物业管理阶段，物业管理区域尚未成立业主大会、选举产生业主委员会，因此，建设单位应当删去有关业主大会、业主委员会等主体和相关内容。</w:t>
      </w:r>
    </w:p>
    <w:p w14:paraId="2DDADDAF">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建设单位制定的《住宅小区临时管理规约》，应当取得商品房预售许可证或者现房销售备案前，报送物业所在地的区物业主管部门备案，并在商品房预售（销售）现场公示，同时作为商品房买卖合同的附件。</w:t>
      </w:r>
    </w:p>
    <w:p w14:paraId="40C5FCF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《住宅小区管理规约》（草案）提交业主大会会议审议前，应当主动征求街道办事处和社区党组织的意见。</w:t>
      </w:r>
    </w:p>
    <w:p w14:paraId="6EB3553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《住宅小区管理规约》（草案）经业主大会会议审议通过后，应当按规定报物业所在地的街道办事处备案，并向全体业主公布。</w:t>
      </w:r>
    </w:p>
    <w:p w14:paraId="3A865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B102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8B26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8F94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3BA8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2AB6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75A8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5923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6F90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FFC2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738A824">
      <w:pPr>
        <w:pStyle w:val="2"/>
        <w:rPr>
          <w:rFonts w:hint="default" w:ascii="Times New Roman" w:hAnsi="Times New Roman" w:eastAsia="仿宋_GB2312" w:cs="Times New Roman"/>
          <w:sz w:val="32"/>
          <w:szCs w:val="32"/>
        </w:rPr>
      </w:pPr>
    </w:p>
    <w:p w14:paraId="36DCCCC6">
      <w:pPr>
        <w:pStyle w:val="2"/>
        <w:ind w:left="0" w:leftChars="0" w:firstLine="0" w:firstLineChars="0"/>
        <w:rPr>
          <w:rFonts w:hint="default"/>
        </w:rPr>
      </w:pPr>
    </w:p>
    <w:p w14:paraId="34DEA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2599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9279718">
      <w:pPr>
        <w:spacing w:line="480" w:lineRule="auto"/>
        <w:jc w:val="center"/>
        <w:rPr>
          <w:rFonts w:hint="default" w:eastAsia="方正小标宋简体" w:cs="Times New Roman"/>
          <w:b w:val="0"/>
          <w:bCs/>
          <w:color w:val="000000" w:themeColor="text1"/>
          <w:sz w:val="44"/>
          <w:szCs w:val="44"/>
          <w:lang w:eastAsia="zh-CN"/>
          <w14:textFill>
            <w14:solidFill>
              <w14:schemeClr w14:val="tx1"/>
            </w14:solidFill>
          </w14:textFill>
        </w:rPr>
      </w:pPr>
      <w:r>
        <w:rPr>
          <w:rFonts w:hint="default" w:eastAsia="方正小标宋简体" w:cs="Times New Roman"/>
          <w:b w:val="0"/>
          <w:bCs/>
          <w:color w:val="000000" w:themeColor="text1"/>
          <w:sz w:val="44"/>
          <w:szCs w:val="44"/>
          <w:lang w:eastAsia="zh-CN"/>
          <w14:textFill>
            <w14:solidFill>
              <w14:schemeClr w14:val="tx1"/>
            </w14:solidFill>
          </w14:textFill>
        </w:rPr>
        <w:t>住宅小区管理规约</w:t>
      </w:r>
    </w:p>
    <w:p w14:paraId="2DDD63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为加强和规范物业的使用、维护和管理活动，维护全体业主的合法权益，根据《中华人民共和国民法典》《</w:t>
      </w:r>
      <w:r>
        <w:rPr>
          <w:rFonts w:hint="default" w:ascii="Times New Roman" w:hAnsi="Times New Roman" w:eastAsia="仿宋_GB2312" w:cs="Times New Roman"/>
          <w:sz w:val="32"/>
          <w:szCs w:val="32"/>
          <w:lang w:eastAsia="zh-CN"/>
        </w:rPr>
        <w:t>内蒙古自治区</w:t>
      </w:r>
      <w:r>
        <w:rPr>
          <w:rFonts w:hint="default" w:ascii="Times New Roman" w:hAnsi="Times New Roman" w:eastAsia="仿宋_GB2312" w:cs="Times New Roman"/>
          <w:sz w:val="32"/>
          <w:szCs w:val="32"/>
        </w:rPr>
        <w:t>物业管理条例》《</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市住宅物业管理条例》和其他相关法律、法规，制定本管理规约。</w:t>
      </w:r>
    </w:p>
    <w:p w14:paraId="2DA56E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第二条 </w:t>
      </w:r>
      <w:r>
        <w:rPr>
          <w:rFonts w:hint="default" w:ascii="Times New Roman" w:hAnsi="Times New Roman" w:eastAsia="仿宋_GB2312" w:cs="Times New Roman"/>
          <w:sz w:val="32"/>
          <w:szCs w:val="32"/>
        </w:rPr>
        <w:t>本管理规约适用于本物业管理区域内物业的使用、维护及相关管理活动。本物业管理区域是指东至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、南至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、西至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、北至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四至范围内的区域，总占地面积</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平方米，房屋总建筑面积</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平方米。其中，物业管理区域规划建筑用地内、围墙（围护）外与市政设施相连的业主共有的开放式场地、绿地（位于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范围），由业主委员会按照有关规定移交所在地的市政设施主管部门负责养护、维修和管理。</w:t>
      </w:r>
    </w:p>
    <w:p w14:paraId="4E1573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业主在物业使用、维护和管理中，享有法律、法规规定和本管理规约约定的权利，并应当履行法律、法规规定和本管理规约约定的义务，执行业主大会、业主委员会依法作出的决定和依法制定的其他物业管理相关制度。</w:t>
      </w:r>
    </w:p>
    <w:p w14:paraId="431E8C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业主依法行使建筑物内专有部分权利，不得危及建筑物的安全，不得损害其他业主的合法权益。</w:t>
      </w:r>
    </w:p>
    <w:p w14:paraId="3EC5A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业主、物业使用人不得擅自改变物业专有部分使用性质。确需改变用途的，应当报有关行政主管部门批准。</w:t>
      </w:r>
    </w:p>
    <w:p w14:paraId="64BA2900">
      <w:pPr>
        <w:pStyle w:val="2"/>
        <w:ind w:left="0" w:leftChars="0" w:firstLine="640" w:firstLineChars="200"/>
        <w:rPr>
          <w:rFonts w:hint="default"/>
        </w:rPr>
      </w:pPr>
      <w:r>
        <w:rPr>
          <w:rFonts w:hint="default" w:ascii="Times New Roman" w:hAnsi="Times New Roman" w:eastAsia="仿宋_GB2312" w:cs="Times New Roman"/>
          <w:sz w:val="32"/>
          <w:szCs w:val="32"/>
        </w:rPr>
        <w:t>业主专有部分存在安全隐患、危及公共利益及他人合法权益的，该业主应当承担房屋安全治理责任，及时采取有效措施，消除安全隐患。</w:t>
      </w:r>
    </w:p>
    <w:p w14:paraId="03DCFB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业主、物业使用人应当遵守法律、法规的规定和住宅质量保证书、住宅使用说明书的约定，合理、安全使用物业，正确处理供水、排水、通行、通风、采光、维修、装修、环境卫生、环境保护等方面的相邻关系。</w:t>
      </w:r>
    </w:p>
    <w:p w14:paraId="038F23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业主将房屋出租或者出借供他人居住的，应当与承租人或者借用人书面约定物业服务相关费用交纳责任人。约定由承租人或者借用人交纳物业相关费用而未交纳的，该业主有义务督促其交纳，或者承担交纳责任。</w:t>
      </w:r>
    </w:p>
    <w:p w14:paraId="264C5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业主转让房屋的，应当在房屋过户前向物业服务企业结清应当交纳的物业服务相关费用，或者与房屋受让人书面约定未结清物业服务相关费用的交费责任人，并将书面约定复印件交物业服务企业保存。</w:t>
      </w:r>
    </w:p>
    <w:p w14:paraId="620C7C75">
      <w:pPr>
        <w:pStyle w:val="2"/>
        <w:ind w:left="0" w:leftChars="0"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SA"/>
        </w:rPr>
        <w:t xml:space="preserve">第七条 </w:t>
      </w:r>
      <w:r>
        <w:rPr>
          <w:rFonts w:hint="default" w:ascii="Times New Roman" w:hAnsi="Times New Roman" w:eastAsia="仿宋_GB2312" w:cs="Times New Roman"/>
          <w:sz w:val="32"/>
          <w:szCs w:val="32"/>
        </w:rPr>
        <w:t>违反本管理规约，业主、物业使用人侵害业主共同利益的，由业主委员会、物业服务企业责令其停止侵害、排除妨碍、消除危险、恢复原状；造成损失的，赔偿损失；拒绝赔偿的，由业主委员会依法提起诉讼。</w:t>
      </w:r>
    </w:p>
    <w:p w14:paraId="769E798E">
      <w:pPr>
        <w:ind w:firstLine="643" w:firstLineChars="20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w:t>
      </w:r>
      <w:r>
        <w:rPr>
          <w:rFonts w:hint="eastAsia" w:ascii="Times New Roman" w:hAnsi="Times New Roman" w:eastAsia="仿宋_GB2312" w:cs="Times New Roman"/>
          <w:b/>
          <w:bCs/>
          <w:kern w:val="2"/>
          <w:sz w:val="32"/>
          <w:szCs w:val="32"/>
          <w:lang w:val="en-US" w:eastAsia="zh-CN" w:bidi="ar-SA"/>
        </w:rPr>
        <w:t>八</w:t>
      </w:r>
      <w:r>
        <w:rPr>
          <w:rFonts w:hint="default" w:ascii="Times New Roman" w:hAnsi="Times New Roman" w:eastAsia="仿宋_GB2312" w:cs="Times New Roman"/>
          <w:b/>
          <w:bCs/>
          <w:kern w:val="2"/>
          <w:sz w:val="32"/>
          <w:szCs w:val="32"/>
          <w:lang w:val="en-US" w:eastAsia="zh-CN" w:bidi="ar-SA"/>
        </w:rPr>
        <w:t>条</w:t>
      </w:r>
      <w:r>
        <w:rPr>
          <w:rFonts w:hint="eastAsia" w:ascii="Times New Roman" w:hAnsi="Times New Roman" w:eastAsia="仿宋_GB2312" w:cs="Times New Roman"/>
          <w:b/>
          <w:bCs/>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突发公共事件应对期间，全体业主应当自觉服从、配合执行各级人民政府及其工作部门、街道办事处、居民委员会、业主委员会、物业服务企业(或其他管理人)依法采取的各项应急管理措施。</w:t>
      </w:r>
    </w:p>
    <w:p w14:paraId="1BA8330F">
      <w:pPr>
        <w:pStyle w:val="2"/>
        <w:ind w:left="0" w:leftChars="0" w:firstLine="643"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第九条</w:t>
      </w:r>
      <w:r>
        <w:rPr>
          <w:rFonts w:hint="default" w:ascii="Times New Roman" w:hAnsi="Times New Roman" w:eastAsia="仿宋_GB2312" w:cs="Times New Roman"/>
          <w:kern w:val="2"/>
          <w:sz w:val="32"/>
          <w:szCs w:val="32"/>
          <w:lang w:val="en-US" w:eastAsia="zh-CN" w:bidi="ar-SA"/>
        </w:rPr>
        <w:t xml:space="preserve"> 违反本管理规约，业主、物业使用侵害他人权益的，由当事人双方协商解决，协商难以解决的，受侵害人可以提请业主委员会协调处理；当事人对协商结果不满意的，可以依法提起诉讼，请求侵害人承担民事责任。</w:t>
      </w:r>
    </w:p>
    <w:p w14:paraId="1BC4608C">
      <w:pPr>
        <w:pStyle w:val="2"/>
        <w:ind w:left="0" w:leftChars="0"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SA"/>
        </w:rPr>
        <w:t>第十条</w:t>
      </w:r>
      <w:r>
        <w:rPr>
          <w:rFonts w:hint="default" w:ascii="Times New Roman" w:hAnsi="Times New Roman" w:eastAsia="仿宋_GB2312" w:cs="Times New Roman"/>
          <w:kern w:val="2"/>
          <w:sz w:val="32"/>
          <w:szCs w:val="32"/>
          <w:lang w:val="en-US" w:eastAsia="zh-CN" w:bidi="ar-SA"/>
        </w:rPr>
        <w:t xml:space="preserve"> 违反本管理规约，业主、物业使用人认为物业服务企业或者业主委员会履行职责中侵害其合法权益的，受侵害业主、物业使用人可以申请街道办事处，或者区物业主管部门协调处理。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519B10-580C-4852-8783-D029840557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4496890-95C0-4169-9900-7163B1EF432A}"/>
  </w:font>
  <w:font w:name="方正小标宋简体">
    <w:panose1 w:val="03000509000000000000"/>
    <w:charset w:val="86"/>
    <w:family w:val="auto"/>
    <w:pitch w:val="default"/>
    <w:sig w:usb0="00000001" w:usb1="080E0000" w:usb2="00000000" w:usb3="00000000" w:csb0="00040000" w:csb1="00000000"/>
    <w:embedRegular r:id="rId3" w:fontKey="{0B402CB9-B5CB-4B1A-BEBC-33B78847AC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F8D2">
    <w:pPr>
      <w:pStyle w:val="6"/>
      <w:ind w:left="315" w:leftChars="150" w:right="315" w:rightChars="150"/>
      <w:jc w:val="right"/>
      <w:rPr>
        <w:sz w:val="28"/>
        <w:szCs w:val="28"/>
      </w:rPr>
    </w:pPr>
  </w:p>
  <w:p w14:paraId="00B150A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F9DD">
    <w:pPr>
      <w:pStyle w:val="6"/>
      <w:ind w:left="315" w:leftChars="150" w:right="315" w:rightChars="150"/>
      <w:rPr>
        <w:rFonts w:ascii="宋体" w:hAnsi="宋体"/>
        <w:sz w:val="28"/>
        <w:szCs w:val="28"/>
      </w:rPr>
    </w:pPr>
  </w:p>
  <w:p w14:paraId="0387924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6662">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CD0D">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B5E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D3398"/>
    <w:rsid w:val="032E4131"/>
    <w:rsid w:val="05B85638"/>
    <w:rsid w:val="081C20A4"/>
    <w:rsid w:val="0ACD539C"/>
    <w:rsid w:val="1BED1CFE"/>
    <w:rsid w:val="1D9959CC"/>
    <w:rsid w:val="1F226837"/>
    <w:rsid w:val="249F3646"/>
    <w:rsid w:val="33E06443"/>
    <w:rsid w:val="370116CC"/>
    <w:rsid w:val="45777932"/>
    <w:rsid w:val="647403B5"/>
    <w:rsid w:val="7AD541E7"/>
    <w:rsid w:val="7B84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Normal Indent"/>
    <w:basedOn w:val="1"/>
    <w:next w:val="1"/>
    <w:qFormat/>
    <w:uiPriority w:val="0"/>
    <w:pPr>
      <w:ind w:firstLine="420" w:firstLineChars="200"/>
    </w:pPr>
    <w:rPr>
      <w:rFonts w:ascii="Calibri" w:hAnsi="Calibri"/>
      <w:sz w:val="32"/>
      <w:szCs w:val="32"/>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1894</Words>
  <Characters>1894</Characters>
  <Lines>0</Lines>
  <Paragraphs>0</Paragraphs>
  <TotalTime>0</TotalTime>
  <ScaleCrop>false</ScaleCrop>
  <LinksUpToDate>false</LinksUpToDate>
  <CharactersWithSpaces>1931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2025-02-10T08:49:00Z</dcterms:created>
  <dc:creator>Administrator</dc:creator>
  <cp:lastModifiedBy>盛世一朵油头菇</cp:lastModifiedBy>
  <dcterms:modified xsi:type="dcterms:W3CDTF">2025-03-11T08:42:47Z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eyJoZGlkIjoiY2YwNzUyNmI5Nzc3ODIwZDZiMjZmMjI4OTFkNDg1OTgiLCJ1c2VySWQiOiI0MTc5Mjg1MDUifQ==</vt:lpwstr>
  </property>
  <property fmtid="{D5CDD505-2E9C-101B-9397-08002B2CF9AE}" pid="4" name="ICV">
    <vt:lpwstr>B284F872F2204607A0E8954F45C0C528_13</vt:lpwstr>
  </property>
</Properties>
</file>