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224" w:lineRule="auto"/>
        <w:ind w:left="84"/>
        <w:rPr>
          <w:rFonts w:ascii="黑体" w:hAnsi="黑体" w:eastAsia="黑体" w:cs="黑体"/>
          <w:sz w:val="23"/>
          <w:szCs w:val="23"/>
        </w:rPr>
      </w:pPr>
      <w:r>
        <w:rPr>
          <w:rFonts w:ascii="黑体" w:hAnsi="黑体" w:eastAsia="黑体" w:cs="黑体"/>
          <w:spacing w:val="-6"/>
          <w:sz w:val="23"/>
          <w:szCs w:val="23"/>
        </w:rPr>
        <w:t>附件4</w:t>
      </w:r>
    </w:p>
    <w:p>
      <w:pPr>
        <w:spacing w:before="75" w:line="219" w:lineRule="auto"/>
        <w:ind w:left="3344"/>
        <w:rPr>
          <w:rFonts w:ascii="宋体" w:hAnsi="宋体" w:eastAsia="宋体" w:cs="宋体"/>
          <w:sz w:val="26"/>
          <w:szCs w:val="26"/>
        </w:rPr>
      </w:pPr>
      <w:r>
        <w:rPr>
          <w:rFonts w:hint="eastAsia" w:ascii="宋体" w:hAnsi="宋体" w:eastAsia="宋体" w:cs="宋体"/>
          <w:b/>
          <w:bCs/>
          <w:spacing w:val="-18"/>
          <w:sz w:val="26"/>
          <w:szCs w:val="26"/>
          <w:lang w:val="en-US" w:eastAsia="zh-CN"/>
        </w:rPr>
        <w:t>乌海市医疗保障局</w:t>
      </w:r>
      <w:r>
        <w:rPr>
          <w:rFonts w:ascii="宋体" w:hAnsi="宋体" w:eastAsia="宋体" w:cs="宋体"/>
          <w:b/>
          <w:bCs/>
          <w:spacing w:val="-18"/>
          <w:sz w:val="26"/>
          <w:szCs w:val="26"/>
        </w:rPr>
        <w:t>转移支付整体绩效自评表</w:t>
      </w:r>
    </w:p>
    <w:p>
      <w:pPr>
        <w:spacing w:before="90" w:line="195" w:lineRule="auto"/>
        <w:ind w:left="4435"/>
        <w:rPr>
          <w:rFonts w:ascii="宋体" w:hAnsi="宋体" w:eastAsia="宋体" w:cs="宋体"/>
          <w:sz w:val="16"/>
          <w:szCs w:val="16"/>
        </w:rPr>
      </w:pPr>
      <w:r>
        <w:rPr>
          <w:rFonts w:ascii="宋体" w:hAnsi="宋体" w:eastAsia="宋体" w:cs="宋体"/>
          <w:spacing w:val="4"/>
          <w:sz w:val="16"/>
          <w:szCs w:val="16"/>
        </w:rPr>
        <w:t>(2023年度)</w:t>
      </w:r>
    </w:p>
    <w:tbl>
      <w:tblPr>
        <w:tblStyle w:val="9"/>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400"/>
        <w:gridCol w:w="819"/>
        <w:gridCol w:w="1818"/>
        <w:gridCol w:w="939"/>
        <w:gridCol w:w="1173"/>
        <w:gridCol w:w="1712"/>
        <w:gridCol w:w="650"/>
        <w:gridCol w:w="738"/>
        <w:gridCol w:w="9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624" w:type="dxa"/>
            <w:gridSpan w:val="3"/>
            <w:vAlign w:val="top"/>
          </w:tcPr>
          <w:p>
            <w:pPr>
              <w:pStyle w:val="8"/>
              <w:spacing w:before="51" w:line="219" w:lineRule="auto"/>
              <w:ind w:left="294"/>
              <w:rPr>
                <w:sz w:val="17"/>
                <w:szCs w:val="17"/>
              </w:rPr>
            </w:pPr>
            <w:r>
              <w:rPr>
                <w:spacing w:val="-2"/>
                <w:sz w:val="17"/>
                <w:szCs w:val="17"/>
              </w:rPr>
              <w:t>转移支付名称</w:t>
            </w:r>
          </w:p>
        </w:tc>
        <w:tc>
          <w:tcPr>
            <w:tcW w:w="7985" w:type="dxa"/>
            <w:gridSpan w:val="7"/>
            <w:vAlign w:val="center"/>
          </w:tcPr>
          <w:p>
            <w:pPr>
              <w:jc w:val="center"/>
              <w:rPr>
                <w:rFonts w:ascii="Arial"/>
                <w:sz w:val="21"/>
              </w:rPr>
            </w:pPr>
            <w:r>
              <w:t>医疗服务与保障能力提升补助资金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hRule="atLeast"/>
        </w:trPr>
        <w:tc>
          <w:tcPr>
            <w:tcW w:w="1624" w:type="dxa"/>
            <w:gridSpan w:val="3"/>
            <w:vAlign w:val="top"/>
          </w:tcPr>
          <w:p>
            <w:pPr>
              <w:pStyle w:val="8"/>
              <w:spacing w:before="38" w:line="219" w:lineRule="auto"/>
              <w:ind w:left="294"/>
              <w:rPr>
                <w:sz w:val="17"/>
                <w:szCs w:val="17"/>
              </w:rPr>
            </w:pPr>
            <w:r>
              <w:rPr>
                <w:spacing w:val="3"/>
                <w:sz w:val="17"/>
                <w:szCs w:val="17"/>
              </w:rPr>
              <w:t>中央主管部门</w:t>
            </w:r>
          </w:p>
        </w:tc>
        <w:tc>
          <w:tcPr>
            <w:tcW w:w="7985" w:type="dxa"/>
            <w:gridSpan w:val="7"/>
            <w:vAlign w:val="center"/>
          </w:tcPr>
          <w:p>
            <w:pPr>
              <w:jc w:val="center"/>
              <w:rPr>
                <w:rFonts w:ascii="Arial"/>
                <w:sz w:val="20"/>
              </w:rPr>
            </w:pPr>
            <w:r>
              <w:rPr>
                <w:rFonts w:hint="eastAsia" w:ascii="宋体" w:hAnsi="宋体" w:eastAsia="宋体" w:cs="宋体"/>
                <w:spacing w:val="3"/>
              </w:rPr>
              <w:t>国家医保局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24" w:type="dxa"/>
            <w:gridSpan w:val="3"/>
            <w:vMerge w:val="restart"/>
            <w:tcBorders>
              <w:bottom w:val="nil"/>
            </w:tcBorders>
            <w:vAlign w:val="center"/>
          </w:tcPr>
          <w:p>
            <w:pPr>
              <w:pStyle w:val="8"/>
              <w:spacing w:before="55" w:line="220" w:lineRule="auto"/>
              <w:ind w:firstLine="344" w:firstLineChars="200"/>
              <w:jc w:val="both"/>
              <w:rPr>
                <w:sz w:val="17"/>
                <w:szCs w:val="17"/>
              </w:rPr>
            </w:pPr>
            <w:r>
              <w:rPr>
                <w:spacing w:val="1"/>
                <w:sz w:val="17"/>
                <w:szCs w:val="17"/>
              </w:rPr>
              <w:t>资金投入情况</w:t>
            </w:r>
          </w:p>
          <w:p>
            <w:pPr>
              <w:pStyle w:val="8"/>
              <w:spacing w:before="7" w:line="220" w:lineRule="auto"/>
              <w:ind w:left="545"/>
              <w:jc w:val="both"/>
              <w:rPr>
                <w:sz w:val="17"/>
                <w:szCs w:val="17"/>
              </w:rPr>
            </w:pPr>
            <w:r>
              <w:rPr>
                <w:spacing w:val="9"/>
                <w:sz w:val="17"/>
                <w:szCs w:val="17"/>
              </w:rPr>
              <w:t>(万元)</w:t>
            </w:r>
          </w:p>
        </w:tc>
        <w:tc>
          <w:tcPr>
            <w:tcW w:w="1818" w:type="dxa"/>
            <w:vAlign w:val="center"/>
          </w:tcPr>
          <w:p>
            <w:pPr>
              <w:jc w:val="center"/>
              <w:rPr>
                <w:rFonts w:ascii="Arial"/>
                <w:sz w:val="21"/>
              </w:rPr>
            </w:pPr>
          </w:p>
        </w:tc>
        <w:tc>
          <w:tcPr>
            <w:tcW w:w="939" w:type="dxa"/>
            <w:vAlign w:val="center"/>
          </w:tcPr>
          <w:p>
            <w:pPr>
              <w:pStyle w:val="8"/>
              <w:spacing w:before="147" w:line="219" w:lineRule="auto"/>
              <w:ind w:right="11"/>
              <w:jc w:val="center"/>
              <w:rPr>
                <w:sz w:val="17"/>
                <w:szCs w:val="17"/>
              </w:rPr>
            </w:pPr>
            <w:r>
              <w:rPr>
                <w:spacing w:val="-2"/>
                <w:sz w:val="17"/>
                <w:szCs w:val="17"/>
              </w:rPr>
              <w:t>年初预算数</w:t>
            </w:r>
          </w:p>
        </w:tc>
        <w:tc>
          <w:tcPr>
            <w:tcW w:w="1173" w:type="dxa"/>
            <w:vAlign w:val="center"/>
          </w:tcPr>
          <w:p>
            <w:pPr>
              <w:pStyle w:val="8"/>
              <w:spacing w:before="68" w:line="198" w:lineRule="auto"/>
              <w:ind w:left="44"/>
              <w:jc w:val="center"/>
              <w:rPr>
                <w:sz w:val="17"/>
                <w:szCs w:val="17"/>
              </w:rPr>
            </w:pPr>
            <w:r>
              <w:rPr>
                <w:spacing w:val="-2"/>
                <w:sz w:val="17"/>
                <w:szCs w:val="17"/>
              </w:rPr>
              <w:t>全年预算数</w:t>
            </w:r>
          </w:p>
          <w:p>
            <w:pPr>
              <w:pStyle w:val="8"/>
              <w:spacing w:line="215" w:lineRule="auto"/>
              <w:ind w:left="334"/>
              <w:jc w:val="center"/>
              <w:rPr>
                <w:sz w:val="17"/>
                <w:szCs w:val="17"/>
              </w:rPr>
            </w:pPr>
            <w:r>
              <w:rPr>
                <w:spacing w:val="-9"/>
                <w:sz w:val="17"/>
                <w:szCs w:val="17"/>
              </w:rPr>
              <w:t>(A)</w:t>
            </w:r>
          </w:p>
        </w:tc>
        <w:tc>
          <w:tcPr>
            <w:tcW w:w="1712" w:type="dxa"/>
            <w:vAlign w:val="center"/>
          </w:tcPr>
          <w:p>
            <w:pPr>
              <w:pStyle w:val="8"/>
              <w:spacing w:before="57" w:line="219" w:lineRule="auto"/>
              <w:jc w:val="center"/>
              <w:rPr>
                <w:sz w:val="17"/>
                <w:szCs w:val="17"/>
              </w:rPr>
            </w:pPr>
            <w:r>
              <w:rPr>
                <w:spacing w:val="-2"/>
                <w:sz w:val="17"/>
                <w:szCs w:val="17"/>
              </w:rPr>
              <w:t>全年执行数</w:t>
            </w:r>
          </w:p>
          <w:p>
            <w:pPr>
              <w:pStyle w:val="8"/>
              <w:spacing w:line="205" w:lineRule="auto"/>
              <w:ind w:left="364"/>
              <w:jc w:val="center"/>
              <w:rPr>
                <w:sz w:val="17"/>
                <w:szCs w:val="17"/>
              </w:rPr>
            </w:pPr>
            <w:r>
              <w:rPr>
                <w:spacing w:val="-9"/>
                <w:sz w:val="17"/>
                <w:szCs w:val="17"/>
              </w:rPr>
              <w:t>(B)</w:t>
            </w:r>
          </w:p>
        </w:tc>
        <w:tc>
          <w:tcPr>
            <w:tcW w:w="650" w:type="dxa"/>
            <w:vAlign w:val="center"/>
          </w:tcPr>
          <w:p>
            <w:pPr>
              <w:pStyle w:val="8"/>
              <w:spacing w:before="147" w:line="219" w:lineRule="auto"/>
              <w:ind w:left="115"/>
              <w:jc w:val="center"/>
              <w:rPr>
                <w:sz w:val="17"/>
                <w:szCs w:val="17"/>
              </w:rPr>
            </w:pPr>
            <w:r>
              <w:rPr>
                <w:spacing w:val="-3"/>
                <w:sz w:val="17"/>
                <w:szCs w:val="17"/>
              </w:rPr>
              <w:t>分值</w:t>
            </w:r>
          </w:p>
        </w:tc>
        <w:tc>
          <w:tcPr>
            <w:tcW w:w="738" w:type="dxa"/>
            <w:vAlign w:val="center"/>
          </w:tcPr>
          <w:p>
            <w:pPr>
              <w:pStyle w:val="8"/>
              <w:spacing w:before="37" w:line="219" w:lineRule="auto"/>
              <w:ind w:left="326"/>
              <w:jc w:val="center"/>
              <w:rPr>
                <w:sz w:val="17"/>
                <w:szCs w:val="17"/>
              </w:rPr>
            </w:pPr>
            <w:r>
              <w:rPr>
                <w:spacing w:val="-2"/>
                <w:sz w:val="17"/>
                <w:szCs w:val="17"/>
              </w:rPr>
              <w:t>执行率</w:t>
            </w:r>
          </w:p>
          <w:p>
            <w:pPr>
              <w:pStyle w:val="8"/>
              <w:spacing w:before="10" w:line="216" w:lineRule="auto"/>
              <w:ind w:left="176"/>
              <w:jc w:val="center"/>
              <w:rPr>
                <w:sz w:val="17"/>
                <w:szCs w:val="17"/>
              </w:rPr>
            </w:pPr>
            <w:r>
              <w:rPr>
                <w:spacing w:val="-4"/>
                <w:sz w:val="17"/>
                <w:szCs w:val="17"/>
              </w:rPr>
              <w:t>(B/A×100%)</w:t>
            </w:r>
          </w:p>
        </w:tc>
        <w:tc>
          <w:tcPr>
            <w:tcW w:w="955" w:type="dxa"/>
            <w:vAlign w:val="center"/>
          </w:tcPr>
          <w:p>
            <w:pPr>
              <w:pStyle w:val="8"/>
              <w:spacing w:before="147" w:line="219" w:lineRule="auto"/>
              <w:ind w:firstLine="498" w:firstLineChars="300"/>
              <w:jc w:val="both"/>
              <w:rPr>
                <w:sz w:val="17"/>
                <w:szCs w:val="17"/>
              </w:rPr>
            </w:pPr>
            <w:r>
              <w:rPr>
                <w:spacing w:val="-2"/>
                <w:sz w:val="17"/>
                <w:szCs w:val="17"/>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8" w:line="186" w:lineRule="auto"/>
              <w:ind w:left="20"/>
              <w:jc w:val="center"/>
              <w:rPr>
                <w:sz w:val="17"/>
                <w:szCs w:val="17"/>
              </w:rPr>
            </w:pPr>
            <w:r>
              <w:rPr>
                <w:spacing w:val="-1"/>
                <w:sz w:val="17"/>
                <w:szCs w:val="17"/>
              </w:rPr>
              <w:t>年度资金总额：</w:t>
            </w:r>
          </w:p>
        </w:tc>
        <w:tc>
          <w:tcPr>
            <w:tcW w:w="939" w:type="dxa"/>
            <w:vAlign w:val="top"/>
          </w:tcPr>
          <w:p>
            <w:pPr>
              <w:jc w:val="center"/>
              <w:rPr>
                <w:rFonts w:hint="default" w:ascii="Arial"/>
                <w:sz w:val="16"/>
                <w:lang w:val="en-US"/>
              </w:rPr>
            </w:pPr>
            <w:r>
              <w:rPr>
                <w:rFonts w:hint="default" w:ascii="楷体_GB2312" w:hAnsi="楷体_GB2312" w:eastAsia="楷体_GB2312" w:cs="楷体_GB2312"/>
                <w:sz w:val="21"/>
                <w:lang w:val="en-US"/>
              </w:rPr>
              <w:t>593.57</w:t>
            </w:r>
          </w:p>
        </w:tc>
        <w:tc>
          <w:tcPr>
            <w:tcW w:w="1173" w:type="dxa"/>
            <w:vAlign w:val="top"/>
          </w:tcPr>
          <w:p>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593.57</w:t>
            </w:r>
          </w:p>
        </w:tc>
        <w:tc>
          <w:tcPr>
            <w:tcW w:w="1712" w:type="dxa"/>
            <w:vAlign w:val="top"/>
          </w:tcPr>
          <w:p>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554.07</w:t>
            </w:r>
          </w:p>
        </w:tc>
        <w:tc>
          <w:tcPr>
            <w:tcW w:w="650" w:type="dxa"/>
            <w:vAlign w:val="center"/>
          </w:tcPr>
          <w:p>
            <w:pPr>
              <w:pStyle w:val="8"/>
              <w:spacing w:before="62" w:line="128" w:lineRule="exact"/>
              <w:ind w:left="206"/>
              <w:jc w:val="both"/>
              <w:rPr>
                <w:sz w:val="17"/>
                <w:szCs w:val="17"/>
              </w:rPr>
            </w:pPr>
            <w:r>
              <w:rPr>
                <w:spacing w:val="-5"/>
                <w:position w:val="-2"/>
                <w:sz w:val="17"/>
                <w:szCs w:val="17"/>
              </w:rPr>
              <w:t>10</w:t>
            </w:r>
          </w:p>
        </w:tc>
        <w:tc>
          <w:tcPr>
            <w:tcW w:w="738" w:type="dxa"/>
            <w:vAlign w:val="top"/>
          </w:tcPr>
          <w:p>
            <w:pPr>
              <w:jc w:val="center"/>
              <w:rPr>
                <w:rFonts w:hint="default" w:ascii="Arial"/>
                <w:sz w:val="16"/>
                <w:lang w:val="en-US"/>
              </w:rPr>
            </w:pPr>
            <w:r>
              <w:rPr>
                <w:rFonts w:hint="default" w:ascii="楷体_GB2312" w:hAnsi="楷体_GB2312" w:eastAsia="楷体_GB2312" w:cs="楷体_GB2312"/>
                <w:sz w:val="21"/>
                <w:lang w:val="en-US"/>
              </w:rPr>
              <w:t>93.3</w:t>
            </w:r>
            <w:r>
              <w:rPr>
                <w:rFonts w:hint="eastAsia" w:ascii="楷体_GB2312" w:hAnsi="楷体_GB2312" w:eastAsia="楷体_GB2312" w:cs="楷体_GB2312"/>
                <w:sz w:val="21"/>
                <w:lang w:val="en-US"/>
              </w:rPr>
              <w:t>%</w:t>
            </w:r>
          </w:p>
        </w:tc>
        <w:tc>
          <w:tcPr>
            <w:tcW w:w="955" w:type="dxa"/>
            <w:vAlign w:val="center"/>
          </w:tcPr>
          <w:p>
            <w:pPr>
              <w:spacing w:line="190" w:lineRule="exact"/>
              <w:jc w:val="center"/>
              <w:rPr>
                <w:rFonts w:hint="default" w:ascii="Arial"/>
                <w:sz w:val="16"/>
                <w:lang w:val="en-US"/>
              </w:rPr>
            </w:pPr>
            <w:r>
              <w:rPr>
                <w:rFonts w:hint="default"/>
                <w:sz w:val="16"/>
                <w:lang w:val="en-US"/>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5"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1"/>
                <w:sz w:val="17"/>
                <w:szCs w:val="17"/>
              </w:rPr>
              <w:t>其中：中央财政资金</w:t>
            </w:r>
          </w:p>
        </w:tc>
        <w:tc>
          <w:tcPr>
            <w:tcW w:w="939" w:type="dxa"/>
            <w:vAlign w:val="top"/>
          </w:tcPr>
          <w:p>
            <w:pPr>
              <w:jc w:val="center"/>
              <w:rPr>
                <w:rFonts w:hint="default" w:ascii="Arial"/>
                <w:sz w:val="16"/>
                <w:lang w:val="en-US"/>
              </w:rPr>
            </w:pPr>
            <w:r>
              <w:rPr>
                <w:rFonts w:hint="default" w:ascii="楷体_GB2312" w:hAnsi="楷体_GB2312" w:eastAsia="楷体_GB2312" w:cs="楷体_GB2312"/>
                <w:sz w:val="21"/>
                <w:lang w:val="en-US"/>
              </w:rPr>
              <w:t>414</w:t>
            </w:r>
          </w:p>
        </w:tc>
        <w:tc>
          <w:tcPr>
            <w:tcW w:w="1173" w:type="dxa"/>
            <w:vAlign w:val="top"/>
          </w:tcPr>
          <w:p>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414</w:t>
            </w:r>
          </w:p>
        </w:tc>
        <w:tc>
          <w:tcPr>
            <w:tcW w:w="1712" w:type="dxa"/>
            <w:vAlign w:val="top"/>
          </w:tcPr>
          <w:p>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373.6</w:t>
            </w:r>
          </w:p>
        </w:tc>
        <w:tc>
          <w:tcPr>
            <w:tcW w:w="650" w:type="dxa"/>
            <w:vAlign w:val="center"/>
          </w:tcPr>
          <w:p>
            <w:pPr>
              <w:spacing w:line="190" w:lineRule="exact"/>
              <w:jc w:val="center"/>
              <w:rPr>
                <w:rFonts w:ascii="Arial"/>
                <w:sz w:val="16"/>
              </w:rPr>
            </w:pPr>
          </w:p>
        </w:tc>
        <w:tc>
          <w:tcPr>
            <w:tcW w:w="738" w:type="dxa"/>
            <w:vAlign w:val="top"/>
          </w:tcPr>
          <w:p>
            <w:pPr>
              <w:jc w:val="center"/>
              <w:rPr>
                <w:rFonts w:ascii="Arial"/>
                <w:sz w:val="16"/>
              </w:rPr>
            </w:pPr>
            <w:r>
              <w:rPr>
                <w:rFonts w:hint="default" w:ascii="楷体_GB2312" w:hAnsi="楷体_GB2312" w:eastAsia="楷体_GB2312" w:cs="楷体_GB2312"/>
                <w:sz w:val="21"/>
                <w:lang w:val="en-US"/>
              </w:rPr>
              <w:t>90.24</w:t>
            </w:r>
            <w:r>
              <w:rPr>
                <w:rFonts w:hint="eastAsia" w:ascii="楷体_GB2312" w:hAnsi="楷体_GB2312" w:eastAsia="楷体_GB2312" w:cs="楷体_GB2312"/>
                <w:sz w:val="21"/>
                <w:lang w:val="en-US"/>
              </w:rPr>
              <w:t>%</w:t>
            </w: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20" w:line="195" w:lineRule="auto"/>
              <w:ind w:left="500"/>
              <w:jc w:val="center"/>
              <w:rPr>
                <w:sz w:val="17"/>
                <w:szCs w:val="17"/>
              </w:rPr>
            </w:pPr>
            <w:r>
              <w:rPr>
                <w:spacing w:val="-1"/>
                <w:sz w:val="17"/>
                <w:szCs w:val="17"/>
              </w:rPr>
              <w:t>地方财政资金</w:t>
            </w:r>
          </w:p>
        </w:tc>
        <w:tc>
          <w:tcPr>
            <w:tcW w:w="939" w:type="dxa"/>
            <w:vAlign w:val="center"/>
          </w:tcPr>
          <w:p>
            <w:pPr>
              <w:spacing w:line="200" w:lineRule="exact"/>
              <w:jc w:val="center"/>
              <w:rPr>
                <w:rFonts w:hint="default" w:ascii="Arial"/>
                <w:sz w:val="17"/>
                <w:lang w:val="en-US"/>
              </w:rPr>
            </w:pPr>
          </w:p>
        </w:tc>
        <w:tc>
          <w:tcPr>
            <w:tcW w:w="1173"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p>
        </w:tc>
        <w:tc>
          <w:tcPr>
            <w:tcW w:w="1712"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p>
        </w:tc>
        <w:tc>
          <w:tcPr>
            <w:tcW w:w="650" w:type="dxa"/>
            <w:vAlign w:val="center"/>
          </w:tcPr>
          <w:p>
            <w:pPr>
              <w:spacing w:line="200" w:lineRule="exact"/>
              <w:jc w:val="center"/>
              <w:rPr>
                <w:rFonts w:ascii="Arial"/>
                <w:sz w:val="17"/>
              </w:rPr>
            </w:pPr>
          </w:p>
        </w:tc>
        <w:tc>
          <w:tcPr>
            <w:tcW w:w="738" w:type="dxa"/>
            <w:vAlign w:val="center"/>
          </w:tcPr>
          <w:p>
            <w:pPr>
              <w:spacing w:line="200" w:lineRule="exact"/>
              <w:jc w:val="center"/>
              <w:rPr>
                <w:rFonts w:ascii="Arial"/>
                <w:sz w:val="17"/>
              </w:rPr>
            </w:pPr>
          </w:p>
        </w:tc>
        <w:tc>
          <w:tcPr>
            <w:tcW w:w="955" w:type="dxa"/>
            <w:vAlign w:val="center"/>
          </w:tcPr>
          <w:p>
            <w:pPr>
              <w:spacing w:line="200" w:lineRule="exact"/>
              <w:jc w:val="center"/>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8"/>
              <w:spacing w:before="19" w:line="185" w:lineRule="auto"/>
              <w:ind w:left="510"/>
              <w:jc w:val="center"/>
              <w:rPr>
                <w:sz w:val="17"/>
                <w:szCs w:val="17"/>
              </w:rPr>
            </w:pPr>
            <w:r>
              <w:rPr>
                <w:spacing w:val="-2"/>
                <w:sz w:val="17"/>
                <w:szCs w:val="17"/>
              </w:rPr>
              <w:t>其他资金</w:t>
            </w:r>
          </w:p>
        </w:tc>
        <w:tc>
          <w:tcPr>
            <w:tcW w:w="939" w:type="dxa"/>
            <w:vAlign w:val="center"/>
          </w:tcPr>
          <w:p>
            <w:pPr>
              <w:jc w:val="center"/>
              <w:rPr>
                <w:rFonts w:hint="default" w:ascii="楷体_GB2312" w:hAnsi="楷体_GB2312" w:eastAsia="楷体_GB2312" w:cs="楷体_GB2312"/>
                <w:sz w:val="21"/>
                <w:lang w:val="en-US"/>
              </w:rPr>
            </w:pPr>
            <w:r>
              <w:rPr>
                <w:rFonts w:hint="default" w:ascii="楷体_GB2312" w:hAnsi="楷体_GB2312" w:eastAsia="楷体_GB2312" w:cs="楷体_GB2312"/>
                <w:sz w:val="21"/>
                <w:lang w:val="en-US"/>
              </w:rPr>
              <w:t>179.57</w:t>
            </w:r>
          </w:p>
        </w:tc>
        <w:tc>
          <w:tcPr>
            <w:tcW w:w="1173" w:type="dxa"/>
            <w:vAlign w:val="center"/>
          </w:tcPr>
          <w:p>
            <w:pPr>
              <w:jc w:val="center"/>
              <w:rPr>
                <w:rFonts w:hint="default" w:ascii="楷体_GB2312" w:hAnsi="楷体_GB2312" w:eastAsia="楷体_GB2312" w:cs="楷体_GB2312"/>
                <w:sz w:val="21"/>
                <w:lang w:val="en-US"/>
              </w:rPr>
            </w:pPr>
            <w:r>
              <w:rPr>
                <w:rFonts w:hint="default" w:ascii="楷体_GB2312" w:hAnsi="楷体_GB2312" w:eastAsia="楷体_GB2312" w:cs="楷体_GB2312"/>
                <w:sz w:val="21"/>
                <w:lang w:val="en-US"/>
              </w:rPr>
              <w:t>179.57</w:t>
            </w:r>
          </w:p>
        </w:tc>
        <w:tc>
          <w:tcPr>
            <w:tcW w:w="1712" w:type="dxa"/>
            <w:vAlign w:val="center"/>
          </w:tcPr>
          <w:p>
            <w:pPr>
              <w:spacing w:line="190" w:lineRule="exact"/>
              <w:jc w:val="center"/>
              <w:rPr>
                <w:rFonts w:hint="default" w:ascii="Arial"/>
                <w:sz w:val="16"/>
                <w:lang w:val="en-US"/>
              </w:rPr>
            </w:pPr>
            <w:r>
              <w:rPr>
                <w:rFonts w:hint="default" w:ascii="楷体_GB2312" w:hAnsi="楷体_GB2312" w:eastAsia="楷体_GB2312" w:cs="楷体_GB2312"/>
                <w:sz w:val="21"/>
                <w:lang w:val="en-US"/>
              </w:rPr>
              <w:t>179.57</w:t>
            </w:r>
          </w:p>
        </w:tc>
        <w:tc>
          <w:tcPr>
            <w:tcW w:w="650" w:type="dxa"/>
            <w:vAlign w:val="center"/>
          </w:tcPr>
          <w:p>
            <w:pPr>
              <w:spacing w:line="190" w:lineRule="exact"/>
              <w:jc w:val="center"/>
              <w:rPr>
                <w:rFonts w:ascii="Arial"/>
                <w:sz w:val="16"/>
              </w:rPr>
            </w:pPr>
          </w:p>
        </w:tc>
        <w:tc>
          <w:tcPr>
            <w:tcW w:w="738" w:type="dxa"/>
            <w:vAlign w:val="center"/>
          </w:tcPr>
          <w:p>
            <w:pPr>
              <w:spacing w:line="190" w:lineRule="exact"/>
              <w:jc w:val="center"/>
              <w:rPr>
                <w:rFonts w:hint="default" w:ascii="Arial"/>
                <w:sz w:val="16"/>
                <w:lang w:val="en-US"/>
              </w:rPr>
            </w:pPr>
            <w:r>
              <w:rPr>
                <w:rFonts w:hint="default" w:ascii="楷体_GB2312" w:hAnsi="楷体_GB2312" w:eastAsia="楷体_GB2312" w:cs="楷体_GB2312"/>
                <w:sz w:val="21"/>
                <w:lang w:val="en-US"/>
              </w:rPr>
              <w:t>100%</w:t>
            </w:r>
          </w:p>
        </w:tc>
        <w:tc>
          <w:tcPr>
            <w:tcW w:w="955" w:type="dxa"/>
            <w:vAlign w:val="center"/>
          </w:tcPr>
          <w:p>
            <w:pPr>
              <w:spacing w:line="190" w:lineRule="exact"/>
              <w:jc w:val="center"/>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24" w:type="dxa"/>
            <w:gridSpan w:val="3"/>
            <w:vMerge w:val="restart"/>
            <w:tcBorders>
              <w:bottom w:val="nil"/>
            </w:tcBorders>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8"/>
              <w:spacing w:before="55" w:line="219" w:lineRule="auto"/>
              <w:ind w:left="294"/>
              <w:rPr>
                <w:sz w:val="17"/>
                <w:szCs w:val="17"/>
              </w:rPr>
            </w:pPr>
            <w:r>
              <w:rPr>
                <w:spacing w:val="1"/>
                <w:sz w:val="17"/>
                <w:szCs w:val="17"/>
              </w:rPr>
              <w:t>资金管理情况</w:t>
            </w:r>
          </w:p>
        </w:tc>
        <w:tc>
          <w:tcPr>
            <w:tcW w:w="1818" w:type="dxa"/>
            <w:vAlign w:val="top"/>
          </w:tcPr>
          <w:p>
            <w:pPr>
              <w:rPr>
                <w:rFonts w:ascii="Arial"/>
                <w:sz w:val="21"/>
              </w:rPr>
            </w:pPr>
          </w:p>
        </w:tc>
        <w:tc>
          <w:tcPr>
            <w:tcW w:w="3824" w:type="dxa"/>
            <w:gridSpan w:val="3"/>
            <w:vAlign w:val="center"/>
          </w:tcPr>
          <w:p>
            <w:pPr>
              <w:pStyle w:val="8"/>
              <w:spacing w:before="108" w:line="219" w:lineRule="auto"/>
              <w:ind w:left="1112" w:firstLine="356" w:firstLineChars="200"/>
              <w:jc w:val="both"/>
              <w:rPr>
                <w:sz w:val="17"/>
                <w:szCs w:val="17"/>
              </w:rPr>
            </w:pPr>
            <w:r>
              <w:rPr>
                <w:spacing w:val="4"/>
                <w:sz w:val="17"/>
                <w:szCs w:val="17"/>
              </w:rPr>
              <w:t>情况说明</w:t>
            </w:r>
          </w:p>
        </w:tc>
        <w:tc>
          <w:tcPr>
            <w:tcW w:w="650" w:type="dxa"/>
            <w:vAlign w:val="center"/>
          </w:tcPr>
          <w:p>
            <w:pPr>
              <w:pStyle w:val="8"/>
              <w:spacing w:before="9" w:line="198" w:lineRule="auto"/>
              <w:ind w:left="115"/>
              <w:jc w:val="center"/>
              <w:rPr>
                <w:sz w:val="17"/>
                <w:szCs w:val="17"/>
              </w:rPr>
            </w:pPr>
            <w:r>
              <w:rPr>
                <w:spacing w:val="-3"/>
                <w:sz w:val="17"/>
                <w:szCs w:val="17"/>
              </w:rPr>
              <w:t>分值</w:t>
            </w:r>
          </w:p>
          <w:p>
            <w:pPr>
              <w:pStyle w:val="8"/>
              <w:spacing w:line="203" w:lineRule="auto"/>
              <w:ind w:left="145"/>
              <w:jc w:val="center"/>
              <w:rPr>
                <w:sz w:val="17"/>
                <w:szCs w:val="17"/>
              </w:rPr>
            </w:pPr>
            <w:r>
              <w:rPr>
                <w:spacing w:val="-7"/>
                <w:sz w:val="17"/>
                <w:szCs w:val="17"/>
              </w:rPr>
              <w:t>(40)</w:t>
            </w:r>
          </w:p>
        </w:tc>
        <w:tc>
          <w:tcPr>
            <w:tcW w:w="738" w:type="dxa"/>
            <w:vAlign w:val="center"/>
          </w:tcPr>
          <w:p>
            <w:pPr>
              <w:pStyle w:val="8"/>
              <w:spacing w:before="108" w:line="219" w:lineRule="auto"/>
              <w:ind w:left="56"/>
              <w:jc w:val="center"/>
              <w:rPr>
                <w:sz w:val="17"/>
                <w:szCs w:val="17"/>
              </w:rPr>
            </w:pPr>
            <w:r>
              <w:rPr>
                <w:spacing w:val="-2"/>
                <w:sz w:val="17"/>
                <w:szCs w:val="17"/>
              </w:rPr>
              <w:t>得分</w:t>
            </w:r>
          </w:p>
        </w:tc>
        <w:tc>
          <w:tcPr>
            <w:tcW w:w="955" w:type="dxa"/>
            <w:vAlign w:val="center"/>
          </w:tcPr>
          <w:p>
            <w:pPr>
              <w:pStyle w:val="8"/>
              <w:spacing w:before="108" w:line="219" w:lineRule="auto"/>
              <w:jc w:val="both"/>
              <w:rPr>
                <w:sz w:val="17"/>
                <w:szCs w:val="17"/>
              </w:rPr>
            </w:pPr>
            <w:r>
              <w:rPr>
                <w:spacing w:val="-1"/>
                <w:sz w:val="17"/>
                <w:szCs w:val="17"/>
              </w:rPr>
              <w:t>存在问题和改进措施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7"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2"/>
                <w:sz w:val="17"/>
                <w:szCs w:val="17"/>
              </w:rPr>
              <w:t>分配科学性</w:t>
            </w:r>
          </w:p>
        </w:tc>
        <w:tc>
          <w:tcPr>
            <w:tcW w:w="3824" w:type="dxa"/>
            <w:gridSpan w:val="3"/>
            <w:vAlign w:val="center"/>
          </w:tcPr>
          <w:p>
            <w:pPr>
              <w:jc w:val="both"/>
              <w:rPr>
                <w:rFonts w:ascii="Arial"/>
                <w:color w:val="auto"/>
                <w:sz w:val="17"/>
              </w:rPr>
            </w:pPr>
            <w:r>
              <w:rPr>
                <w:rFonts w:hint="default"/>
                <w:color w:val="auto"/>
                <w:sz w:val="21"/>
                <w:lang w:val="en-US" w:eastAsia="zh-CN"/>
              </w:rPr>
              <w:t xml:space="preserve"> </w:t>
            </w:r>
            <w:r>
              <w:rPr>
                <w:rFonts w:hint="default"/>
                <w:color w:val="auto"/>
                <w:sz w:val="21"/>
                <w:highlight w:val="none"/>
                <w:lang w:val="en-US" w:eastAsia="zh-CN"/>
              </w:rPr>
              <w:t xml:space="preserve"> </w:t>
            </w:r>
            <w:r>
              <w:rPr>
                <w:rFonts w:hint="eastAsia"/>
                <w:color w:val="auto"/>
                <w:sz w:val="21"/>
                <w:highlight w:val="none"/>
                <w:lang w:val="en-US" w:eastAsia="zh-CN"/>
              </w:rPr>
              <w:t>按文件要求，根据资金使用范围，各区服务群体及工作开展情况、资金使用效果，会同财政局提出分配意见，上报市政府批复，进行下达分配。</w:t>
            </w:r>
          </w:p>
        </w:tc>
        <w:tc>
          <w:tcPr>
            <w:tcW w:w="650" w:type="dxa"/>
            <w:vAlign w:val="center"/>
          </w:tcPr>
          <w:p>
            <w:pPr>
              <w:pStyle w:val="8"/>
              <w:spacing w:before="65" w:line="135" w:lineRule="exact"/>
              <w:ind w:left="246"/>
              <w:jc w:val="center"/>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 w:line="194" w:lineRule="auto"/>
              <w:ind w:left="20"/>
              <w:jc w:val="center"/>
              <w:rPr>
                <w:sz w:val="17"/>
                <w:szCs w:val="17"/>
              </w:rPr>
            </w:pPr>
            <w:r>
              <w:rPr>
                <w:spacing w:val="-2"/>
                <w:sz w:val="17"/>
                <w:szCs w:val="17"/>
              </w:rPr>
              <w:t>下达及时性</w:t>
            </w:r>
          </w:p>
        </w:tc>
        <w:tc>
          <w:tcPr>
            <w:tcW w:w="3824" w:type="dxa"/>
            <w:gridSpan w:val="3"/>
            <w:vAlign w:val="center"/>
          </w:tcPr>
          <w:p>
            <w:pPr>
              <w:ind w:firstLine="210" w:firstLineChars="100"/>
              <w:jc w:val="both"/>
              <w:rPr>
                <w:rFonts w:hint="eastAsia" w:ascii="Arial" w:hAnsi="Arial" w:eastAsia="Arial" w:cs="Arial"/>
                <w:snapToGrid w:val="0"/>
                <w:color w:val="auto"/>
                <w:kern w:val="0"/>
                <w:sz w:val="21"/>
                <w:szCs w:val="21"/>
                <w:lang w:val="en-US" w:eastAsia="en-US" w:bidi="ar-SA"/>
              </w:rPr>
            </w:pPr>
            <w:r>
              <w:rPr>
                <w:rFonts w:hint="eastAsia" w:ascii="Arial"/>
                <w:color w:val="auto"/>
                <w:sz w:val="21"/>
                <w:highlight w:val="none"/>
              </w:rPr>
              <w:t>项目资金</w:t>
            </w:r>
            <w:r>
              <w:rPr>
                <w:rFonts w:hint="eastAsia"/>
                <w:color w:val="auto"/>
                <w:sz w:val="21"/>
                <w:highlight w:val="none"/>
                <w:lang w:val="en-US" w:eastAsia="zh-CN"/>
              </w:rPr>
              <w:t>按照文件要求，在规定时间内完成预算资金下达。</w:t>
            </w:r>
          </w:p>
        </w:tc>
        <w:tc>
          <w:tcPr>
            <w:tcW w:w="650" w:type="dxa"/>
            <w:vAlign w:val="center"/>
          </w:tcPr>
          <w:p>
            <w:pPr>
              <w:pStyle w:val="8"/>
              <w:spacing w:before="45" w:line="135" w:lineRule="exact"/>
              <w:ind w:left="246"/>
              <w:jc w:val="both"/>
              <w:rPr>
                <w:sz w:val="17"/>
                <w:szCs w:val="17"/>
              </w:rPr>
            </w:pPr>
            <w:r>
              <w:rPr>
                <w:position w:val="-2"/>
                <w:sz w:val="17"/>
                <w:szCs w:val="17"/>
              </w:rPr>
              <w:t>5</w:t>
            </w:r>
          </w:p>
        </w:tc>
        <w:tc>
          <w:tcPr>
            <w:tcW w:w="738" w:type="dxa"/>
            <w:vAlign w:val="center"/>
          </w:tcPr>
          <w:p>
            <w:pPr>
              <w:spacing w:line="180" w:lineRule="exact"/>
              <w:jc w:val="center"/>
              <w:rPr>
                <w:rFonts w:hint="default" w:ascii="Arial"/>
                <w:sz w:val="15"/>
                <w:lang w:val="en-US"/>
              </w:rPr>
            </w:pPr>
            <w:r>
              <w:rPr>
                <w:rFonts w:hint="default"/>
                <w:sz w:val="15"/>
                <w:lang w:val="en-US"/>
              </w:rPr>
              <w:t>5</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2"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2"/>
                <w:sz w:val="17"/>
                <w:szCs w:val="17"/>
              </w:rPr>
              <w:t>拨付合规性</w:t>
            </w:r>
          </w:p>
        </w:tc>
        <w:tc>
          <w:tcPr>
            <w:tcW w:w="3824" w:type="dxa"/>
            <w:gridSpan w:val="3"/>
            <w:vAlign w:val="center"/>
          </w:tcPr>
          <w:p>
            <w:pPr>
              <w:jc w:val="both"/>
              <w:rPr>
                <w:rFonts w:hint="eastAsia" w:ascii="Arial" w:hAnsi="Arial" w:eastAsia="Arial" w:cs="Arial"/>
                <w:snapToGrid w:val="0"/>
                <w:color w:val="000000"/>
                <w:kern w:val="0"/>
                <w:sz w:val="21"/>
                <w:szCs w:val="21"/>
                <w:lang w:val="en-US" w:eastAsia="en-US" w:bidi="ar-SA"/>
              </w:rPr>
            </w:pPr>
            <w:r>
              <w:rPr>
                <w:rFonts w:hint="default"/>
                <w:sz w:val="21"/>
                <w:lang w:val="en-US"/>
              </w:rPr>
              <w:t xml:space="preserve">  </w:t>
            </w:r>
            <w:r>
              <w:rPr>
                <w:rFonts w:hint="eastAsia" w:ascii="Arial"/>
                <w:sz w:val="21"/>
              </w:rPr>
              <w:t>项目资金使用符合国家财经法规和财务管理制度以及有关专项资金管理办法的规定，资金拨付有完整的审批程序和手续</w:t>
            </w:r>
            <w:r>
              <w:rPr>
                <w:rFonts w:hint="eastAsia" w:eastAsia="宋体"/>
                <w:sz w:val="21"/>
                <w:lang w:eastAsia="zh-CN"/>
              </w:rPr>
              <w:t>。</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2"/>
                <w:sz w:val="17"/>
                <w:szCs w:val="17"/>
              </w:rPr>
              <w:t>使用规范性</w:t>
            </w:r>
          </w:p>
        </w:tc>
        <w:tc>
          <w:tcPr>
            <w:tcW w:w="3824" w:type="dxa"/>
            <w:gridSpan w:val="3"/>
            <w:vAlign w:val="center"/>
          </w:tcPr>
          <w:p>
            <w:pPr>
              <w:ind w:firstLine="210" w:firstLineChars="100"/>
              <w:jc w:val="both"/>
              <w:rPr>
                <w:rFonts w:hint="eastAsia" w:ascii="Arial" w:hAnsi="Arial" w:eastAsia="Arial" w:cs="Arial"/>
                <w:snapToGrid w:val="0"/>
                <w:color w:val="000000"/>
                <w:kern w:val="0"/>
                <w:sz w:val="21"/>
                <w:szCs w:val="21"/>
                <w:lang w:val="en-US" w:eastAsia="en-US" w:bidi="ar-SA"/>
              </w:rPr>
            </w:pPr>
            <w:r>
              <w:rPr>
                <w:rFonts w:hint="eastAsia" w:cs="Arial"/>
                <w:snapToGrid w:val="0"/>
                <w:color w:val="000000"/>
                <w:kern w:val="0"/>
                <w:sz w:val="21"/>
                <w:szCs w:val="21"/>
                <w:lang w:val="en-US" w:eastAsia="zh-CN" w:bidi="ar-SA"/>
              </w:rPr>
              <w:t>严格按照文件规定范围使用，</w:t>
            </w:r>
            <w:r>
              <w:rPr>
                <w:rFonts w:hint="eastAsia" w:ascii="Arial"/>
                <w:sz w:val="21"/>
              </w:rPr>
              <w:t>严格按照预算批复规定的用途支出，不存在截留、挤占、挪用、虚列支出等情况</w:t>
            </w:r>
          </w:p>
        </w:tc>
        <w:tc>
          <w:tcPr>
            <w:tcW w:w="650" w:type="dxa"/>
            <w:vAlign w:val="center"/>
          </w:tcPr>
          <w:p>
            <w:pPr>
              <w:pStyle w:val="8"/>
              <w:spacing w:before="64" w:line="136" w:lineRule="exact"/>
              <w:ind w:left="246"/>
              <w:jc w:val="both"/>
              <w:rPr>
                <w:sz w:val="17"/>
                <w:szCs w:val="17"/>
              </w:rPr>
            </w:pPr>
            <w:r>
              <w:rPr>
                <w:position w:val="-2"/>
                <w:sz w:val="17"/>
                <w:szCs w:val="17"/>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6"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5" w:lineRule="auto"/>
              <w:ind w:left="20"/>
              <w:jc w:val="center"/>
              <w:rPr>
                <w:sz w:val="17"/>
                <w:szCs w:val="17"/>
              </w:rPr>
            </w:pPr>
            <w:r>
              <w:rPr>
                <w:spacing w:val="-2"/>
                <w:sz w:val="17"/>
                <w:szCs w:val="17"/>
              </w:rPr>
              <w:t>执行准确性</w:t>
            </w:r>
          </w:p>
        </w:tc>
        <w:tc>
          <w:tcPr>
            <w:tcW w:w="3824" w:type="dxa"/>
            <w:gridSpan w:val="3"/>
            <w:vAlign w:val="center"/>
          </w:tcPr>
          <w:p>
            <w:pPr>
              <w:jc w:val="both"/>
              <w:rPr>
                <w:rFonts w:hint="default" w:ascii="Arial" w:hAnsi="Arial" w:eastAsia="宋体" w:cs="Arial"/>
                <w:snapToGrid w:val="0"/>
                <w:color w:val="000000"/>
                <w:kern w:val="0"/>
                <w:sz w:val="21"/>
                <w:szCs w:val="21"/>
                <w:lang w:val="en-US" w:eastAsia="zh-CN" w:bidi="ar-SA"/>
              </w:rPr>
            </w:pPr>
            <w:r>
              <w:rPr>
                <w:rFonts w:hint="default"/>
                <w:sz w:val="21"/>
                <w:lang w:val="en-US"/>
              </w:rPr>
              <w:t xml:space="preserve">  </w:t>
            </w:r>
            <w:r>
              <w:rPr>
                <w:rFonts w:hint="eastAsia"/>
                <w:sz w:val="21"/>
                <w:lang w:val="en-US" w:eastAsia="zh-CN"/>
              </w:rPr>
              <w:t>在预算范围内严格遵循财务规定，对资金支付执行审签制度，并在规定时限内发放到位，确保各项支出符合规定并有效支持了各项工作的顺利开展。</w:t>
            </w:r>
          </w:p>
        </w:tc>
        <w:tc>
          <w:tcPr>
            <w:tcW w:w="650" w:type="dxa"/>
            <w:vAlign w:val="center"/>
          </w:tcPr>
          <w:p>
            <w:pPr>
              <w:pStyle w:val="8"/>
              <w:spacing w:before="64" w:line="126"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96" w:lineRule="auto"/>
              <w:ind w:left="20"/>
              <w:jc w:val="center"/>
              <w:rPr>
                <w:sz w:val="17"/>
                <w:szCs w:val="17"/>
              </w:rPr>
            </w:pPr>
            <w:r>
              <w:rPr>
                <w:spacing w:val="-1"/>
                <w:sz w:val="17"/>
                <w:szCs w:val="17"/>
              </w:rPr>
              <w:t>预算绩效管理情况</w:t>
            </w:r>
          </w:p>
        </w:tc>
        <w:tc>
          <w:tcPr>
            <w:tcW w:w="3824" w:type="dxa"/>
            <w:gridSpan w:val="3"/>
            <w:vAlign w:val="center"/>
          </w:tcPr>
          <w:p>
            <w:pPr>
              <w:ind w:firstLine="210" w:firstLineChars="100"/>
              <w:jc w:val="both"/>
              <w:rPr>
                <w:rFonts w:ascii="Arial" w:hAnsi="Arial" w:eastAsia="Arial" w:cs="Arial"/>
                <w:snapToGrid w:val="0"/>
                <w:color w:val="000000"/>
                <w:kern w:val="0"/>
                <w:sz w:val="21"/>
                <w:szCs w:val="21"/>
                <w:lang w:val="en-US" w:eastAsia="en-US" w:bidi="ar-SA"/>
              </w:rPr>
            </w:pPr>
            <w:r>
              <w:rPr>
                <w:rFonts w:hint="eastAsia"/>
                <w:sz w:val="21"/>
                <w:lang w:val="en-US" w:eastAsia="zh-CN"/>
              </w:rPr>
              <w:t>加强预算编制绩效管理，强化项目绩效目标，对我部门预算项目进行全面梳理、加强审核、合理保障。强化预算绩效管理意识，抓好预算绩效管理的绩效目标管理和及绩效评价管理工作，充分利用预算绩效评价结果。</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sz w:val="17"/>
                <w:lang w:val="en-US"/>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 w:hRule="atLeast"/>
        </w:trPr>
        <w:tc>
          <w:tcPr>
            <w:tcW w:w="1624" w:type="dxa"/>
            <w:gridSpan w:val="3"/>
            <w:vMerge w:val="continue"/>
            <w:tcBorders>
              <w:top w:val="nil"/>
              <w:bottom w:val="nil"/>
            </w:tcBorders>
            <w:vAlign w:val="top"/>
          </w:tcPr>
          <w:p>
            <w:pPr>
              <w:rPr>
                <w:rFonts w:ascii="Arial"/>
                <w:sz w:val="21"/>
              </w:rPr>
            </w:pPr>
          </w:p>
        </w:tc>
        <w:tc>
          <w:tcPr>
            <w:tcW w:w="1818" w:type="dxa"/>
            <w:vAlign w:val="center"/>
          </w:tcPr>
          <w:p>
            <w:pPr>
              <w:pStyle w:val="8"/>
              <w:spacing w:before="19" w:line="184" w:lineRule="auto"/>
              <w:ind w:left="20"/>
              <w:jc w:val="center"/>
              <w:rPr>
                <w:sz w:val="17"/>
                <w:szCs w:val="17"/>
              </w:rPr>
            </w:pPr>
            <w:r>
              <w:rPr>
                <w:spacing w:val="-1"/>
                <w:sz w:val="17"/>
                <w:szCs w:val="17"/>
              </w:rPr>
              <w:t>支出责任履行情况</w:t>
            </w:r>
          </w:p>
        </w:tc>
        <w:tc>
          <w:tcPr>
            <w:tcW w:w="3824" w:type="dxa"/>
            <w:gridSpan w:val="3"/>
            <w:vAlign w:val="center"/>
          </w:tcPr>
          <w:p>
            <w:pPr>
              <w:ind w:firstLine="210" w:firstLineChars="100"/>
              <w:jc w:val="both"/>
              <w:rPr>
                <w:rFonts w:hint="eastAsia"/>
                <w:sz w:val="21"/>
                <w:lang w:val="en-US" w:eastAsia="zh-CN"/>
              </w:rPr>
            </w:pPr>
            <w:r>
              <w:rPr>
                <w:rFonts w:hint="eastAsia"/>
                <w:sz w:val="21"/>
                <w:lang w:val="en-US" w:eastAsia="zh-CN"/>
              </w:rPr>
              <w:t>我局在专项经费使用方面严格按照《乌海市医疗保障局经费管理办法》执行，规划财务科负责经费的预算、管理和核算。对大金额支出严格按照《乌海市医疗保障局“三重一大”事项议事决策规则》办理，通过集体讨论后，用会议形式作出决定，努力提高科学决策、民主决策、依法决策的能力和水平。</w:t>
            </w:r>
          </w:p>
          <w:p>
            <w:pPr>
              <w:jc w:val="both"/>
              <w:rPr>
                <w:rFonts w:ascii="Arial" w:hAnsi="Arial" w:eastAsia="Arial" w:cs="Arial"/>
                <w:snapToGrid w:val="0"/>
                <w:color w:val="000000"/>
                <w:kern w:val="0"/>
                <w:sz w:val="21"/>
                <w:szCs w:val="21"/>
                <w:lang w:val="en-US" w:eastAsia="en-US" w:bidi="ar-SA"/>
              </w:rPr>
            </w:pPr>
          </w:p>
        </w:tc>
        <w:tc>
          <w:tcPr>
            <w:tcW w:w="650" w:type="dxa"/>
            <w:vAlign w:val="center"/>
          </w:tcPr>
          <w:p>
            <w:pPr>
              <w:pStyle w:val="8"/>
              <w:spacing w:before="64" w:line="125" w:lineRule="exact"/>
              <w:ind w:left="246"/>
              <w:jc w:val="both"/>
              <w:rPr>
                <w:sz w:val="17"/>
                <w:szCs w:val="17"/>
              </w:rPr>
            </w:pPr>
            <w:r>
              <w:rPr>
                <w:position w:val="-2"/>
                <w:sz w:val="17"/>
                <w:szCs w:val="17"/>
              </w:rPr>
              <w:t>5</w:t>
            </w:r>
          </w:p>
        </w:tc>
        <w:tc>
          <w:tcPr>
            <w:tcW w:w="738" w:type="dxa"/>
            <w:vAlign w:val="center"/>
          </w:tcPr>
          <w:p>
            <w:pPr>
              <w:spacing w:line="189" w:lineRule="exact"/>
              <w:jc w:val="center"/>
              <w:rPr>
                <w:rFonts w:hint="default" w:ascii="Arial"/>
                <w:sz w:val="16"/>
                <w:lang w:val="en-US"/>
              </w:rPr>
            </w:pPr>
            <w:r>
              <w:rPr>
                <w:rFonts w:hint="default"/>
                <w:sz w:val="16"/>
                <w:lang w:val="en-US"/>
              </w:rPr>
              <w:t>5</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624" w:type="dxa"/>
            <w:gridSpan w:val="3"/>
            <w:vMerge w:val="continue"/>
            <w:tcBorders>
              <w:top w:val="nil"/>
            </w:tcBorders>
            <w:vAlign w:val="top"/>
          </w:tcPr>
          <w:p>
            <w:pPr>
              <w:rPr>
                <w:rFonts w:ascii="Arial"/>
                <w:sz w:val="21"/>
              </w:rPr>
            </w:pPr>
          </w:p>
        </w:tc>
        <w:tc>
          <w:tcPr>
            <w:tcW w:w="1818" w:type="dxa"/>
            <w:vAlign w:val="center"/>
          </w:tcPr>
          <w:p>
            <w:pPr>
              <w:pStyle w:val="8"/>
              <w:spacing w:before="21" w:line="183" w:lineRule="auto"/>
              <w:ind w:left="20"/>
              <w:jc w:val="center"/>
              <w:rPr>
                <w:color w:val="auto"/>
                <w:sz w:val="17"/>
                <w:szCs w:val="17"/>
                <w:highlight w:val="none"/>
              </w:rPr>
            </w:pPr>
            <w:r>
              <w:rPr>
                <w:color w:val="auto"/>
                <w:spacing w:val="-1"/>
                <w:sz w:val="17"/>
                <w:szCs w:val="17"/>
                <w:highlight w:val="none"/>
              </w:rPr>
              <w:t>政策目标实现情况</w:t>
            </w:r>
          </w:p>
        </w:tc>
        <w:tc>
          <w:tcPr>
            <w:tcW w:w="3824" w:type="dxa"/>
            <w:gridSpan w:val="3"/>
            <w:vAlign w:val="top"/>
          </w:tcPr>
          <w:p>
            <w:pPr>
              <w:ind w:firstLine="210" w:firstLineChars="100"/>
              <w:jc w:val="both"/>
              <w:rPr>
                <w:rFonts w:hint="default"/>
                <w:sz w:val="21"/>
                <w:lang w:val="en-US" w:eastAsia="zh-CN"/>
              </w:rPr>
            </w:pPr>
            <w:r>
              <w:rPr>
                <w:rFonts w:hint="eastAsia"/>
                <w:sz w:val="21"/>
                <w:lang w:val="en-US" w:eastAsia="zh-CN"/>
              </w:rPr>
              <w:t>通过完善制度框架、加强医疗服务管理、加强监管和执法力度以及提升群众保障意识，医疗保障政策的实施更加有力有效，更好的保障人民群众的健康权益。</w:t>
            </w:r>
          </w:p>
          <w:p>
            <w:pPr>
              <w:spacing w:line="190" w:lineRule="exact"/>
              <w:rPr>
                <w:rFonts w:ascii="Arial"/>
                <w:color w:val="auto"/>
                <w:sz w:val="16"/>
                <w:highlight w:val="none"/>
              </w:rPr>
            </w:pPr>
          </w:p>
        </w:tc>
        <w:tc>
          <w:tcPr>
            <w:tcW w:w="650" w:type="dxa"/>
            <w:vAlign w:val="center"/>
          </w:tcPr>
          <w:p>
            <w:pPr>
              <w:pStyle w:val="8"/>
              <w:spacing w:before="65" w:line="125" w:lineRule="exact"/>
              <w:ind w:left="246"/>
              <w:jc w:val="both"/>
              <w:rPr>
                <w:sz w:val="17"/>
                <w:szCs w:val="17"/>
              </w:rPr>
            </w:pPr>
            <w:r>
              <w:rPr>
                <w:position w:val="-2"/>
                <w:sz w:val="17"/>
                <w:szCs w:val="17"/>
              </w:rPr>
              <w:t>5</w:t>
            </w:r>
          </w:p>
        </w:tc>
        <w:tc>
          <w:tcPr>
            <w:tcW w:w="738" w:type="dxa"/>
            <w:vAlign w:val="center"/>
          </w:tcPr>
          <w:p>
            <w:pPr>
              <w:spacing w:line="190" w:lineRule="exact"/>
              <w:jc w:val="center"/>
              <w:rPr>
                <w:rFonts w:hint="default" w:ascii="Arial"/>
                <w:sz w:val="16"/>
                <w:lang w:val="en-US"/>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8" w:hRule="atLeast"/>
        </w:trPr>
        <w:tc>
          <w:tcPr>
            <w:tcW w:w="405" w:type="dxa"/>
            <w:vMerge w:val="restart"/>
            <w:tcBorders>
              <w:bottom w:val="nil"/>
            </w:tcBorders>
            <w:vAlign w:val="center"/>
          </w:tcPr>
          <w:p>
            <w:pPr>
              <w:pStyle w:val="8"/>
              <w:spacing w:before="12" w:line="221" w:lineRule="auto"/>
              <w:ind w:left="14" w:right="37" w:firstLine="9"/>
              <w:jc w:val="center"/>
              <w:rPr>
                <w:sz w:val="17"/>
                <w:szCs w:val="17"/>
              </w:rPr>
            </w:pPr>
            <w:r>
              <w:rPr>
                <w:spacing w:val="-6"/>
                <w:sz w:val="17"/>
                <w:szCs w:val="17"/>
              </w:rPr>
              <w:t>总体</w:t>
            </w:r>
            <w:r>
              <w:rPr>
                <w:sz w:val="17"/>
                <w:szCs w:val="17"/>
              </w:rPr>
              <w:t xml:space="preserve"> </w:t>
            </w:r>
            <w:r>
              <w:rPr>
                <w:sz w:val="30"/>
                <w:szCs w:val="30"/>
              </w:rPr>
              <w:t xml:space="preserve"> </w:t>
            </w:r>
            <w:r>
              <w:rPr>
                <w:spacing w:val="1"/>
                <w:sz w:val="17"/>
                <w:szCs w:val="17"/>
              </w:rPr>
              <w:t>情况</w:t>
            </w:r>
          </w:p>
        </w:tc>
        <w:tc>
          <w:tcPr>
            <w:tcW w:w="5149" w:type="dxa"/>
            <w:gridSpan w:val="5"/>
            <w:vAlign w:val="center"/>
          </w:tcPr>
          <w:p>
            <w:pPr>
              <w:pStyle w:val="8"/>
              <w:spacing w:before="41" w:line="216" w:lineRule="auto"/>
              <w:ind w:left="2129"/>
              <w:jc w:val="both"/>
              <w:rPr>
                <w:sz w:val="17"/>
                <w:szCs w:val="17"/>
              </w:rPr>
            </w:pPr>
            <w:r>
              <w:rPr>
                <w:spacing w:val="-3"/>
                <w:sz w:val="17"/>
                <w:szCs w:val="17"/>
              </w:rPr>
              <w:t>总体目标</w:t>
            </w:r>
          </w:p>
        </w:tc>
        <w:tc>
          <w:tcPr>
            <w:tcW w:w="4055" w:type="dxa"/>
            <w:gridSpan w:val="4"/>
            <w:vAlign w:val="center"/>
          </w:tcPr>
          <w:p>
            <w:pPr>
              <w:pStyle w:val="8"/>
              <w:spacing w:before="41" w:line="216" w:lineRule="auto"/>
              <w:ind w:left="1514"/>
              <w:jc w:val="both"/>
              <w:rPr>
                <w:sz w:val="17"/>
                <w:szCs w:val="17"/>
              </w:rPr>
            </w:pPr>
            <w:r>
              <w:rPr>
                <w:spacing w:val="-1"/>
                <w:sz w:val="17"/>
                <w:szCs w:val="17"/>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05" w:type="dxa"/>
            <w:vMerge w:val="continue"/>
            <w:tcBorders>
              <w:top w:val="nil"/>
            </w:tcBorders>
            <w:vAlign w:val="top"/>
          </w:tcPr>
          <w:p>
            <w:pPr>
              <w:rPr>
                <w:rFonts w:ascii="Arial"/>
                <w:sz w:val="21"/>
              </w:rPr>
            </w:pPr>
          </w:p>
        </w:tc>
        <w:tc>
          <w:tcPr>
            <w:tcW w:w="5149" w:type="dxa"/>
            <w:gridSpan w:val="5"/>
            <w:vAlign w:val="center"/>
          </w:tcPr>
          <w:p>
            <w:pPr>
              <w:numPr>
                <w:ilvl w:val="0"/>
                <w:numId w:val="1"/>
              </w:numPr>
              <w:jc w:val="center"/>
              <w:rPr>
                <w:rFonts w:hint="eastAsia" w:ascii="Arial"/>
                <w:sz w:val="21"/>
              </w:rPr>
            </w:pPr>
            <w:r>
              <w:rPr>
                <w:rFonts w:hint="eastAsia" w:ascii="Arial"/>
                <w:sz w:val="21"/>
              </w:rPr>
              <w:t>提升医保信息化水平，加强网络、信息安全等方面建设，进一步夯实技术基础，切实保障医保信息系统高效、安全运行，提高数据采集质量和速度。2.加强打击欺诈骗保工作力度，切实保障医保基金合理有效使用；3.加快推进医保支付方式改革和DRG试点工作。4.做好药品和医用耗材集中带量采购工作。</w:t>
            </w:r>
          </w:p>
          <w:p>
            <w:pPr>
              <w:numPr>
                <w:ilvl w:val="0"/>
                <w:numId w:val="0"/>
              </w:numPr>
              <w:jc w:val="center"/>
              <w:rPr>
                <w:rFonts w:hint="eastAsia" w:ascii="Arial" w:eastAsia="宋体"/>
                <w:sz w:val="21"/>
                <w:lang w:eastAsia="zh-CN"/>
              </w:rPr>
            </w:pPr>
            <w:r>
              <w:rPr>
                <w:rFonts w:hint="eastAsia" w:eastAsia="宋体"/>
                <w:sz w:val="21"/>
                <w:lang w:val="en-US" w:eastAsia="zh-CN"/>
              </w:rPr>
              <w:t>5、提升医保经办服务建设。</w:t>
            </w:r>
          </w:p>
        </w:tc>
        <w:tc>
          <w:tcPr>
            <w:tcW w:w="4055" w:type="dxa"/>
            <w:gridSpan w:val="4"/>
            <w:vAlign w:val="top"/>
          </w:tcPr>
          <w:p>
            <w:pPr>
              <w:rPr>
                <w:rFonts w:hint="eastAsia"/>
                <w:sz w:val="21"/>
                <w:lang w:val="en-US" w:eastAsia="zh-CN"/>
              </w:rPr>
            </w:pPr>
            <w:r>
              <w:rPr>
                <w:rFonts w:hint="eastAsia" w:ascii="Arial"/>
                <w:sz w:val="21"/>
              </w:rPr>
              <w:t>一是推进药品耗材集采，方便群众“低价购药”。全力做好国家组织药品医用耗材集中带量采购和使用分析工作，积极开展我市药品和医用耗材集中带量采购运行数据分析。2023年底完成国家组织药品8批集中带量采购总金额3527.9万元，药价平均降幅达70%，节省医保基金7544.5万元；完成省际联盟8批药品集中带量采购总金额591.5万元，药价平均降幅达72%，节省医保基金1439.8万元。同时乌海市作为全区首个“集采药品进药店”试点盟市，通过综合考量确定了4家连锁药店共81个集采药品定点药店，以“零差价”的方式销售46种集采药品。81家集采药店采购集采药品共37113盒，药品平均降价达52%，可减轻患者用药负担40余万元。二是扩面力度不断加大，覆盖人群“更加广泛”。持续聚焦困难群体、在校学生及灵活就业人员等重点群体，精准施策。通过开展数据比对，加强与民政、乡村振兴以及残联等部门的协调配合，实现信息互联互通。2023年全市基本医疗保险参保缴费40.48万人，自治区其他盟市参保9.19万人，省外参保11.48万人，参保率达到114.8%，名列全区第三位。困难人员参保率实现100%，完成自治区参保率不低于95%的目标任务。三是重点改革实现突破，医保支付“更加高效”。全面落实卫生健康事业高质量发展“1+N”政策体系，积极推进医保支付方式改革，出台了恶性肿瘤日间放化疗、优化日间手术医保支付政策、择期手术预住院医保支付三个办法，积极探索付费方式改革，健全医保支付方式和激励约束机制，全面推行以按病种付费为主的多元复合支付方式，草拟了乌海市区域总额DRG付费管理办法及经办规程，鼓励各医疗机构之间错位发展、有序竞争，支持我市医院重点学科和特色专科发展，引导“基层首诊、双向转诊”分级诊疗体系，不断提高医保基金使用效能。四是服务下沉，建设便民“服务圈”。建成20个镇（街道）基层医保服务站和83个村（社区）基层医保服务点，推动30余项医保业务下沉至基层医保服务站（点），重点打造10个医保基层服务示范点，形成社区、农区、园区医保经办服务一体化新格局。为建设“15分钟医保便民服务圈”跑出加速度，展现新成效。</w:t>
            </w:r>
            <w:r>
              <w:rPr>
                <w:rFonts w:hint="eastAsia"/>
                <w:sz w:val="21"/>
                <w:lang w:val="en-US" w:eastAsia="zh-CN"/>
              </w:rPr>
              <w:t>五是通过开展打击欺诈骗保宣传月活动，结合线上线下多种渠道普及欺诈骗保行为及所需承担的法律责任。持续保持医保基金监管高压态势，联合公安、卫健、市场监管等部门开展“双随机、</w:t>
            </w:r>
            <w:bookmarkStart w:id="0" w:name="_GoBack"/>
            <w:bookmarkEnd w:id="0"/>
            <w:r>
              <w:rPr>
                <w:rFonts w:hint="eastAsia"/>
                <w:sz w:val="21"/>
                <w:lang w:val="en-US" w:eastAsia="zh-CN"/>
              </w:rPr>
              <w:t>一公开”执法检查，整合推动市、区一体化监管，创新建设医保基金结算药品监管系统，有效规范定点医疗机构使用门诊统筹基金行为，2023年对存在违规问题的医药机构下达整改通知90家，约谈机构69家，共追回医疗机构违规金额396.76万元，切实保障医保基金安全运行。</w:t>
            </w:r>
          </w:p>
          <w:p>
            <w:pPr>
              <w:rPr>
                <w:rFonts w:hint="default"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05" w:type="dxa"/>
            <w:vMerge w:val="restart"/>
            <w:tcBorders>
              <w:bottom w:val="nil"/>
            </w:tcBorders>
            <w:textDirection w:val="tbRlV"/>
            <w:vAlign w:val="top"/>
          </w:tcPr>
          <w:p>
            <w:pPr>
              <w:pStyle w:val="8"/>
              <w:spacing w:before="119" w:line="217" w:lineRule="auto"/>
              <w:ind w:left="3036"/>
              <w:rPr>
                <w:sz w:val="17"/>
                <w:szCs w:val="17"/>
              </w:rPr>
            </w:pPr>
            <w:r>
              <w:rPr>
                <w:sz w:val="17"/>
                <w:szCs w:val="17"/>
              </w:rPr>
              <w:t>绩效指标</w:t>
            </w:r>
          </w:p>
        </w:tc>
        <w:tc>
          <w:tcPr>
            <w:tcW w:w="400" w:type="dxa"/>
            <w:vAlign w:val="center"/>
          </w:tcPr>
          <w:p>
            <w:pPr>
              <w:pStyle w:val="8"/>
              <w:spacing w:before="24" w:line="198" w:lineRule="auto"/>
              <w:ind w:left="19" w:firstLine="39"/>
              <w:jc w:val="center"/>
              <w:rPr>
                <w:sz w:val="17"/>
                <w:szCs w:val="17"/>
              </w:rPr>
            </w:pPr>
            <w:r>
              <w:rPr>
                <w:spacing w:val="-5"/>
                <w:sz w:val="17"/>
                <w:szCs w:val="17"/>
              </w:rPr>
              <w:t>一级</w:t>
            </w:r>
            <w:r>
              <w:rPr>
                <w:sz w:val="17"/>
                <w:szCs w:val="17"/>
              </w:rPr>
              <w:t xml:space="preserve"> </w:t>
            </w:r>
            <w:r>
              <w:rPr>
                <w:spacing w:val="-3"/>
                <w:sz w:val="17"/>
                <w:szCs w:val="17"/>
              </w:rPr>
              <w:t>指标</w:t>
            </w:r>
          </w:p>
        </w:tc>
        <w:tc>
          <w:tcPr>
            <w:tcW w:w="819" w:type="dxa"/>
            <w:vAlign w:val="center"/>
          </w:tcPr>
          <w:p>
            <w:pPr>
              <w:pStyle w:val="8"/>
              <w:spacing w:before="122" w:line="220" w:lineRule="auto"/>
              <w:ind w:left="60"/>
              <w:jc w:val="center"/>
              <w:rPr>
                <w:sz w:val="17"/>
                <w:szCs w:val="17"/>
              </w:rPr>
            </w:pPr>
            <w:r>
              <w:rPr>
                <w:spacing w:val="-2"/>
                <w:sz w:val="17"/>
                <w:szCs w:val="17"/>
              </w:rPr>
              <w:t>二级指标</w:t>
            </w:r>
          </w:p>
        </w:tc>
        <w:tc>
          <w:tcPr>
            <w:tcW w:w="2757" w:type="dxa"/>
            <w:gridSpan w:val="2"/>
            <w:vAlign w:val="center"/>
          </w:tcPr>
          <w:p>
            <w:pPr>
              <w:pStyle w:val="8"/>
              <w:spacing w:before="122" w:line="220" w:lineRule="auto"/>
              <w:ind w:left="1080"/>
              <w:jc w:val="center"/>
              <w:rPr>
                <w:sz w:val="17"/>
                <w:szCs w:val="17"/>
              </w:rPr>
            </w:pPr>
            <w:r>
              <w:rPr>
                <w:spacing w:val="-2"/>
                <w:sz w:val="17"/>
                <w:szCs w:val="17"/>
              </w:rPr>
              <w:t>三级指标</w:t>
            </w:r>
          </w:p>
        </w:tc>
        <w:tc>
          <w:tcPr>
            <w:tcW w:w="1173" w:type="dxa"/>
            <w:vAlign w:val="center"/>
          </w:tcPr>
          <w:p>
            <w:pPr>
              <w:pStyle w:val="8"/>
              <w:spacing w:before="121" w:line="219" w:lineRule="auto"/>
              <w:ind w:left="213"/>
              <w:jc w:val="center"/>
              <w:rPr>
                <w:sz w:val="17"/>
                <w:szCs w:val="17"/>
              </w:rPr>
            </w:pPr>
            <w:r>
              <w:rPr>
                <w:spacing w:val="-2"/>
                <w:sz w:val="17"/>
                <w:szCs w:val="17"/>
              </w:rPr>
              <w:t>指标值</w:t>
            </w:r>
          </w:p>
        </w:tc>
        <w:tc>
          <w:tcPr>
            <w:tcW w:w="1712" w:type="dxa"/>
            <w:vAlign w:val="center"/>
          </w:tcPr>
          <w:p>
            <w:pPr>
              <w:pStyle w:val="8"/>
              <w:spacing w:before="22" w:line="199" w:lineRule="auto"/>
              <w:ind w:left="334" w:hanging="240"/>
              <w:jc w:val="center"/>
              <w:rPr>
                <w:sz w:val="17"/>
                <w:szCs w:val="17"/>
              </w:rPr>
            </w:pPr>
            <w:r>
              <w:rPr>
                <w:spacing w:val="-2"/>
                <w:sz w:val="17"/>
                <w:szCs w:val="17"/>
              </w:rPr>
              <w:t>全年实际完</w:t>
            </w:r>
            <w:r>
              <w:rPr>
                <w:spacing w:val="2"/>
                <w:sz w:val="17"/>
                <w:szCs w:val="17"/>
              </w:rPr>
              <w:t xml:space="preserve"> </w:t>
            </w:r>
            <w:r>
              <w:rPr>
                <w:spacing w:val="-2"/>
                <w:sz w:val="17"/>
                <w:szCs w:val="17"/>
              </w:rPr>
              <w:t>成值</w:t>
            </w:r>
          </w:p>
        </w:tc>
        <w:tc>
          <w:tcPr>
            <w:tcW w:w="650" w:type="dxa"/>
            <w:vAlign w:val="center"/>
          </w:tcPr>
          <w:p>
            <w:pPr>
              <w:pStyle w:val="8"/>
              <w:spacing w:before="121" w:line="219" w:lineRule="auto"/>
              <w:ind w:left="115"/>
              <w:jc w:val="center"/>
              <w:rPr>
                <w:sz w:val="17"/>
                <w:szCs w:val="17"/>
              </w:rPr>
            </w:pPr>
            <w:r>
              <w:rPr>
                <w:spacing w:val="-3"/>
                <w:sz w:val="17"/>
                <w:szCs w:val="17"/>
              </w:rPr>
              <w:t>分值</w:t>
            </w:r>
          </w:p>
        </w:tc>
        <w:tc>
          <w:tcPr>
            <w:tcW w:w="738" w:type="dxa"/>
            <w:vAlign w:val="center"/>
          </w:tcPr>
          <w:p>
            <w:pPr>
              <w:pStyle w:val="8"/>
              <w:spacing w:before="121" w:line="219" w:lineRule="auto"/>
              <w:ind w:left="56"/>
              <w:jc w:val="center"/>
              <w:rPr>
                <w:sz w:val="17"/>
                <w:szCs w:val="17"/>
              </w:rPr>
            </w:pPr>
            <w:r>
              <w:rPr>
                <w:spacing w:val="-2"/>
                <w:sz w:val="17"/>
                <w:szCs w:val="17"/>
              </w:rPr>
              <w:t>得分</w:t>
            </w:r>
          </w:p>
        </w:tc>
        <w:tc>
          <w:tcPr>
            <w:tcW w:w="955" w:type="dxa"/>
            <w:vAlign w:val="center"/>
          </w:tcPr>
          <w:p>
            <w:pPr>
              <w:pStyle w:val="8"/>
              <w:spacing w:before="121" w:line="219" w:lineRule="auto"/>
              <w:jc w:val="both"/>
              <w:rPr>
                <w:sz w:val="17"/>
                <w:szCs w:val="17"/>
              </w:rPr>
            </w:pPr>
            <w:r>
              <w:rPr>
                <w:spacing w:val="-1"/>
                <w:sz w:val="17"/>
                <w:szCs w:val="17"/>
              </w:rPr>
              <w:t>未完成原因和改进措施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405" w:type="dxa"/>
            <w:vMerge w:val="continue"/>
            <w:tcBorders>
              <w:top w:val="nil"/>
              <w:bottom w:val="nil"/>
            </w:tcBorders>
            <w:textDirection w:val="tbRlV"/>
            <w:vAlign w:val="top"/>
          </w:tcPr>
          <w:p>
            <w:pPr>
              <w:rPr>
                <w:rFonts w:ascii="Arial"/>
                <w:sz w:val="21"/>
              </w:rPr>
            </w:pPr>
          </w:p>
        </w:tc>
        <w:tc>
          <w:tcPr>
            <w:tcW w:w="400" w:type="dxa"/>
            <w:vMerge w:val="restart"/>
            <w:textDirection w:val="tbRlV"/>
            <w:vAlign w:val="center"/>
          </w:tcPr>
          <w:p>
            <w:pPr>
              <w:pStyle w:val="8"/>
              <w:spacing w:before="120" w:line="216" w:lineRule="auto"/>
              <w:ind w:left="1027"/>
              <w:jc w:val="center"/>
              <w:rPr>
                <w:sz w:val="17"/>
                <w:szCs w:val="17"/>
              </w:rPr>
            </w:pPr>
            <w:r>
              <w:rPr>
                <w:sz w:val="17"/>
                <w:szCs w:val="17"/>
              </w:rPr>
              <w:t>产出指标</w:t>
            </w:r>
          </w:p>
          <w:p>
            <w:pPr>
              <w:jc w:val="center"/>
              <w:rPr>
                <w:rFonts w:hint="eastAsia" w:ascii="Arial" w:eastAsia="宋体"/>
                <w:sz w:val="21"/>
                <w:lang w:val="en-US" w:eastAsia="zh-CN"/>
              </w:rPr>
            </w:pPr>
          </w:p>
        </w:tc>
        <w:tc>
          <w:tcPr>
            <w:tcW w:w="819" w:type="dxa"/>
            <w:vMerge w:val="restart"/>
            <w:tcBorders>
              <w:bottom w:val="nil"/>
            </w:tcBorders>
            <w:vAlign w:val="center"/>
          </w:tcPr>
          <w:p>
            <w:pPr>
              <w:pStyle w:val="8"/>
              <w:spacing w:before="242" w:line="219" w:lineRule="auto"/>
              <w:ind w:left="60"/>
              <w:jc w:val="center"/>
              <w:rPr>
                <w:sz w:val="17"/>
                <w:szCs w:val="17"/>
              </w:rPr>
            </w:pPr>
            <w:r>
              <w:rPr>
                <w:spacing w:val="-2"/>
                <w:sz w:val="17"/>
                <w:szCs w:val="17"/>
              </w:rPr>
              <w:t>数量指标</w:t>
            </w: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每个旗县(区)范围内开通门诊慢特病相关治疗费用跨省联网定点医疗机构数量</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w:t>
            </w:r>
            <w:r>
              <w:rPr>
                <w:rFonts w:hint="default"/>
                <w:sz w:val="18"/>
                <w:lang w:val="en-US" w:eastAsia="zh-CN"/>
              </w:rPr>
              <w:t>1</w:t>
            </w:r>
            <w:r>
              <w:rPr>
                <w:rFonts w:hint="eastAsia"/>
                <w:sz w:val="18"/>
                <w:lang w:val="en-US" w:eastAsia="zh-CN"/>
              </w:rPr>
              <w:t>家</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7</w:t>
            </w:r>
            <w:r>
              <w:rPr>
                <w:rFonts w:hint="eastAsia"/>
                <w:sz w:val="18"/>
                <w:lang w:val="en-US" w:eastAsia="zh-CN"/>
              </w:rPr>
              <w:t>家</w:t>
            </w:r>
          </w:p>
        </w:tc>
        <w:tc>
          <w:tcPr>
            <w:tcW w:w="650" w:type="dxa"/>
            <w:vAlign w:val="center"/>
          </w:tcPr>
          <w:p>
            <w:pPr>
              <w:spacing w:line="200" w:lineRule="exact"/>
              <w:jc w:val="center"/>
              <w:rPr>
                <w:rFonts w:hint="default" w:ascii="Arial"/>
                <w:sz w:val="17"/>
                <w:lang w:val="en-US"/>
              </w:rPr>
            </w:pPr>
            <w:r>
              <w:rPr>
                <w:rFonts w:hint="default"/>
                <w:sz w:val="17"/>
                <w:lang w:val="en-US"/>
              </w:rPr>
              <w:t>5</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bottom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开展嘎查村(社区)级医保服务、有网点提供帮办、代办服务的嘎查村(社区)覆盖率</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w:t>
            </w:r>
            <w:r>
              <w:rPr>
                <w:rFonts w:hint="default"/>
                <w:sz w:val="18"/>
                <w:lang w:val="en-US" w:eastAsia="zh-CN"/>
              </w:rPr>
              <w:t>60%</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100%</w:t>
            </w:r>
          </w:p>
        </w:tc>
        <w:tc>
          <w:tcPr>
            <w:tcW w:w="650" w:type="dxa"/>
            <w:vAlign w:val="center"/>
          </w:tcPr>
          <w:p>
            <w:pPr>
              <w:spacing w:line="200" w:lineRule="exact"/>
              <w:jc w:val="center"/>
              <w:rPr>
                <w:rFonts w:hint="default" w:ascii="Arial"/>
                <w:sz w:val="16"/>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tcBorders>
              <w:top w:val="nil"/>
            </w:tcBorders>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提升公立医疗机构平台采购药品耗材比例</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 xml:space="preserve"> 药品网采率≥90%，高值医用耗材网采率≥80%</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药品网采率99%，耗材网采率81%</w:t>
            </w:r>
          </w:p>
        </w:tc>
        <w:tc>
          <w:tcPr>
            <w:tcW w:w="650" w:type="dxa"/>
            <w:vAlign w:val="center"/>
          </w:tcPr>
          <w:p>
            <w:pPr>
              <w:spacing w:line="200" w:lineRule="exact"/>
              <w:jc w:val="center"/>
              <w:rPr>
                <w:rFonts w:hint="default" w:ascii="Arial"/>
                <w:sz w:val="17"/>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restart"/>
            <w:vAlign w:val="center"/>
          </w:tcPr>
          <w:p>
            <w:pPr>
              <w:pStyle w:val="8"/>
              <w:spacing w:before="234" w:line="220" w:lineRule="auto"/>
              <w:ind w:left="60"/>
              <w:jc w:val="center"/>
              <w:rPr>
                <w:spacing w:val="-2"/>
                <w:sz w:val="17"/>
                <w:szCs w:val="17"/>
              </w:rPr>
            </w:pPr>
            <w:r>
              <w:rPr>
                <w:spacing w:val="-2"/>
                <w:sz w:val="17"/>
                <w:szCs w:val="17"/>
              </w:rPr>
              <w:t>质量指标</w:t>
            </w:r>
          </w:p>
          <w:p>
            <w:pPr>
              <w:pStyle w:val="8"/>
              <w:spacing w:before="136" w:line="208" w:lineRule="auto"/>
              <w:ind w:left="139" w:right="76" w:hanging="79"/>
              <w:rPr>
                <w:sz w:val="17"/>
                <w:szCs w:val="17"/>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医保经办服务能力</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显著提升</w:t>
            </w:r>
          </w:p>
        </w:tc>
        <w:tc>
          <w:tcPr>
            <w:tcW w:w="1712" w:type="dxa"/>
            <w:vAlign w:val="center"/>
          </w:tcPr>
          <w:p>
            <w:pPr>
              <w:spacing w:line="210" w:lineRule="exact"/>
              <w:jc w:val="center"/>
              <w:rPr>
                <w:rFonts w:hint="eastAsia" w:ascii="Arial" w:hAnsi="Arial" w:eastAsia="Arial" w:cs="Arial"/>
                <w:snapToGrid w:val="0"/>
                <w:color w:val="auto"/>
                <w:kern w:val="0"/>
                <w:sz w:val="18"/>
                <w:szCs w:val="21"/>
                <w:lang w:val="en-US" w:eastAsia="zh-CN" w:bidi="ar-SA"/>
              </w:rPr>
            </w:pPr>
            <w:r>
              <w:rPr>
                <w:rFonts w:hint="eastAsia" w:ascii="Arial"/>
                <w:color w:val="auto"/>
                <w:sz w:val="18"/>
                <w:lang w:val="en-US" w:eastAsia="zh-CN"/>
              </w:rPr>
              <w:t>强化数字赋能，开发应用智能医保服务平台及智能语音客服，</w:t>
            </w:r>
            <w:r>
              <w:rPr>
                <w:rFonts w:hint="eastAsia"/>
                <w:color w:val="auto"/>
                <w:sz w:val="18"/>
                <w:lang w:val="en-US" w:eastAsia="zh-CN"/>
              </w:rPr>
              <w:t>建立基层服务站点，</w:t>
            </w:r>
            <w:r>
              <w:rPr>
                <w:rFonts w:hint="eastAsia" w:ascii="Arial"/>
                <w:color w:val="auto"/>
                <w:sz w:val="18"/>
                <w:szCs w:val="18"/>
              </w:rPr>
              <w:t>推动30余项医保业务下沉至基层医保服务站</w:t>
            </w:r>
            <w:r>
              <w:rPr>
                <w:rFonts w:hint="eastAsia" w:eastAsia="宋体"/>
                <w:color w:val="auto"/>
                <w:sz w:val="18"/>
                <w:szCs w:val="18"/>
                <w:lang w:eastAsia="zh-CN"/>
              </w:rPr>
              <w:t>，</w:t>
            </w:r>
            <w:r>
              <w:rPr>
                <w:rFonts w:hint="eastAsia" w:ascii="Arial"/>
                <w:color w:val="auto"/>
                <w:sz w:val="18"/>
                <w:lang w:val="en-US" w:eastAsia="zh-CN"/>
              </w:rPr>
              <w:t>进一步提升经办服务能力。</w:t>
            </w:r>
          </w:p>
        </w:tc>
        <w:tc>
          <w:tcPr>
            <w:tcW w:w="650" w:type="dxa"/>
            <w:vAlign w:val="center"/>
          </w:tcPr>
          <w:p>
            <w:pPr>
              <w:spacing w:line="200" w:lineRule="exact"/>
              <w:jc w:val="center"/>
              <w:rPr>
                <w:rFonts w:hint="default" w:ascii="Arial"/>
                <w:sz w:val="15"/>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5"/>
                <w:szCs w:val="21"/>
                <w:lang w:val="en-US" w:eastAsia="en-US" w:bidi="ar-SA"/>
              </w:rPr>
            </w:pPr>
            <w:r>
              <w:rPr>
                <w:rFonts w:hint="default"/>
                <w:sz w:val="17"/>
                <w:lang w:val="en-US"/>
              </w:rPr>
              <w:t>4</w:t>
            </w:r>
          </w:p>
        </w:tc>
        <w:tc>
          <w:tcPr>
            <w:tcW w:w="955" w:type="dxa"/>
            <w:vAlign w:val="top"/>
          </w:tcPr>
          <w:p>
            <w:pPr>
              <w:spacing w:line="180" w:lineRule="exact"/>
              <w:rPr>
                <w:rFonts w:ascii="Arial"/>
                <w:sz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vAlign w:val="center"/>
          </w:tcPr>
          <w:p>
            <w:pPr>
              <w:jc w:val="center"/>
              <w:rPr>
                <w:rFonts w:ascii="Arial"/>
                <w:sz w:val="21"/>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医保综合监管能力</w:t>
            </w:r>
          </w:p>
        </w:tc>
        <w:tc>
          <w:tcPr>
            <w:tcW w:w="1173"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有所提高</w:t>
            </w:r>
          </w:p>
        </w:tc>
        <w:tc>
          <w:tcPr>
            <w:tcW w:w="1712" w:type="dxa"/>
            <w:vAlign w:val="center"/>
          </w:tcPr>
          <w:p>
            <w:pPr>
              <w:spacing w:line="210" w:lineRule="exact"/>
              <w:jc w:val="center"/>
              <w:rPr>
                <w:rFonts w:hint="eastAsia" w:ascii="Arial" w:hAnsi="Arial" w:eastAsia="Arial" w:cs="Arial"/>
                <w:snapToGrid w:val="0"/>
                <w:color w:val="auto"/>
                <w:kern w:val="0"/>
                <w:sz w:val="18"/>
                <w:szCs w:val="21"/>
                <w:lang w:val="en-US" w:eastAsia="zh-CN" w:bidi="ar-SA"/>
              </w:rPr>
            </w:pPr>
            <w:r>
              <w:rPr>
                <w:rFonts w:hint="eastAsia" w:ascii="Arial"/>
                <w:color w:val="auto"/>
                <w:sz w:val="18"/>
                <w:lang w:val="en-US" w:eastAsia="zh-CN"/>
              </w:rPr>
              <w:t>开展业务培训、</w:t>
            </w:r>
            <w:r>
              <w:rPr>
                <w:rFonts w:hint="eastAsia"/>
                <w:color w:val="auto"/>
                <w:sz w:val="18"/>
                <w:lang w:val="en-US" w:eastAsia="zh-CN"/>
              </w:rPr>
              <w:t>开展</w:t>
            </w:r>
            <w:r>
              <w:rPr>
                <w:rFonts w:hint="eastAsia" w:ascii="Arial"/>
                <w:color w:val="auto"/>
                <w:sz w:val="18"/>
                <w:lang w:val="en-US" w:eastAsia="zh-CN"/>
              </w:rPr>
              <w:t>双随机一公开、智能监控、大数据分析等监督检查，实现定点医药机构监督检查全覆盖。</w:t>
            </w:r>
          </w:p>
        </w:tc>
        <w:tc>
          <w:tcPr>
            <w:tcW w:w="650" w:type="dxa"/>
            <w:vAlign w:val="center"/>
          </w:tcPr>
          <w:p>
            <w:pPr>
              <w:spacing w:line="200" w:lineRule="exact"/>
              <w:jc w:val="center"/>
              <w:rPr>
                <w:rFonts w:hint="default" w:ascii="Arial"/>
                <w:sz w:val="17"/>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vAlign w:val="center"/>
          </w:tcPr>
          <w:p>
            <w:pPr>
              <w:pStyle w:val="8"/>
              <w:spacing w:before="234" w:line="220" w:lineRule="auto"/>
              <w:ind w:left="60"/>
              <w:jc w:val="center"/>
              <w:rPr>
                <w:sz w:val="17"/>
                <w:szCs w:val="17"/>
              </w:rPr>
            </w:pPr>
          </w:p>
        </w:tc>
        <w:tc>
          <w:tcPr>
            <w:tcW w:w="2757" w:type="dxa"/>
            <w:gridSpan w:val="2"/>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医保标准化水平</w:t>
            </w:r>
          </w:p>
        </w:tc>
        <w:tc>
          <w:tcPr>
            <w:tcW w:w="1173"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显著提升</w:t>
            </w:r>
          </w:p>
        </w:tc>
        <w:tc>
          <w:tcPr>
            <w:tcW w:w="1712"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全市四级经办机构统一执行《全区医疗保障经办政务服务事项清单(2023版)》，进一步提升医保公共服务标准化水平。</w:t>
            </w:r>
          </w:p>
        </w:tc>
        <w:tc>
          <w:tcPr>
            <w:tcW w:w="650" w:type="dxa"/>
            <w:vAlign w:val="center"/>
          </w:tcPr>
          <w:p>
            <w:pPr>
              <w:spacing w:line="200" w:lineRule="exact"/>
              <w:jc w:val="center"/>
              <w:rPr>
                <w:rFonts w:hint="default" w:ascii="Arial"/>
                <w:sz w:val="17"/>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ascii="Arial"/>
                <w:sz w:val="21"/>
              </w:rPr>
            </w:pPr>
          </w:p>
        </w:tc>
        <w:tc>
          <w:tcPr>
            <w:tcW w:w="819" w:type="dxa"/>
            <w:vMerge w:val="continue"/>
            <w:vAlign w:val="center"/>
          </w:tcPr>
          <w:p>
            <w:pPr>
              <w:pStyle w:val="8"/>
              <w:spacing w:before="243" w:line="219" w:lineRule="auto"/>
              <w:ind w:left="60"/>
              <w:jc w:val="center"/>
              <w:rPr>
                <w:sz w:val="17"/>
                <w:szCs w:val="17"/>
              </w:rPr>
            </w:pPr>
          </w:p>
        </w:tc>
        <w:tc>
          <w:tcPr>
            <w:tcW w:w="2757" w:type="dxa"/>
            <w:gridSpan w:val="2"/>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医疗服务价格动态调整执行情况</w:t>
            </w:r>
          </w:p>
        </w:tc>
        <w:tc>
          <w:tcPr>
            <w:tcW w:w="1173" w:type="dxa"/>
            <w:vAlign w:val="center"/>
          </w:tcPr>
          <w:p>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按要求开展调价评估，符合启动条件的及时进行调价</w:t>
            </w:r>
          </w:p>
        </w:tc>
        <w:tc>
          <w:tcPr>
            <w:tcW w:w="1712" w:type="dxa"/>
            <w:vAlign w:val="center"/>
          </w:tcPr>
          <w:p>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hAnsi="Arial" w:eastAsia="Arial" w:cs="Arial"/>
                <w:snapToGrid w:val="0"/>
                <w:color w:val="000000"/>
                <w:kern w:val="0"/>
                <w:sz w:val="18"/>
                <w:szCs w:val="21"/>
                <w:lang w:val="en-US" w:eastAsia="zh-CN" w:bidi="ar-SA"/>
              </w:rPr>
              <w:t>动态调整医疗服务价格。按照自治区医疗保障局要求，开展医疗服务项目价格调整评估，动态调整执行种植体植入费、门诊诊察费、下调部分医学影像类、实验室检查项目价格，整合调整中医类灸法、拔罐、推拿等5次医疗服务价格，医疗服务动态上调115项，下调134项。</w:t>
            </w:r>
          </w:p>
        </w:tc>
        <w:tc>
          <w:tcPr>
            <w:tcW w:w="650" w:type="dxa"/>
            <w:vAlign w:val="center"/>
          </w:tcPr>
          <w:p>
            <w:pPr>
              <w:spacing w:line="200" w:lineRule="exact"/>
              <w:jc w:val="center"/>
              <w:rPr>
                <w:rFonts w:hint="default" w:ascii="Arial"/>
                <w:sz w:val="17"/>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center"/>
          </w:tcPr>
          <w:p>
            <w:pPr>
              <w:jc w:val="center"/>
              <w:rPr>
                <w:rFonts w:hint="eastAsia" w:ascii="Arial" w:eastAsia="宋体"/>
                <w:sz w:val="21"/>
                <w:lang w:val="en-US" w:eastAsia="zh-CN"/>
              </w:rPr>
            </w:pPr>
          </w:p>
        </w:tc>
        <w:tc>
          <w:tcPr>
            <w:tcW w:w="819" w:type="dxa"/>
            <w:vMerge w:val="continue"/>
            <w:vAlign w:val="center"/>
          </w:tcPr>
          <w:p>
            <w:pPr>
              <w:pStyle w:val="8"/>
              <w:spacing w:before="135" w:line="219" w:lineRule="auto"/>
              <w:ind w:left="229" w:right="76" w:hanging="169"/>
              <w:jc w:val="center"/>
              <w:rPr>
                <w:sz w:val="17"/>
                <w:szCs w:val="17"/>
              </w:rPr>
            </w:pPr>
          </w:p>
        </w:tc>
        <w:tc>
          <w:tcPr>
            <w:tcW w:w="2757" w:type="dxa"/>
            <w:gridSpan w:val="2"/>
            <w:vAlign w:val="center"/>
          </w:tcPr>
          <w:p>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 xml:space="preserve">推行DRG医保支付方式改革 </w:t>
            </w:r>
          </w:p>
        </w:tc>
        <w:tc>
          <w:tcPr>
            <w:tcW w:w="1173" w:type="dxa"/>
            <w:vAlign w:val="center"/>
          </w:tcPr>
          <w:p>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DRG改革覆盖全部符合条件的开展住院服务的医疗机构，覆盖80%以上住院病种</w:t>
            </w:r>
          </w:p>
        </w:tc>
        <w:tc>
          <w:tcPr>
            <w:tcW w:w="1712" w:type="dxa"/>
            <w:vAlign w:val="center"/>
          </w:tcPr>
          <w:p>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制定印发《关于基本医疗保险住院医疗费实行总额预算下按疾病诊断相关分组（DRG）付费的通知》等付费方式改革相关文件，全市定点医疗机构均实现DRG付费全覆盖</w:t>
            </w:r>
          </w:p>
        </w:tc>
        <w:tc>
          <w:tcPr>
            <w:tcW w:w="650" w:type="dxa"/>
            <w:vAlign w:val="center"/>
          </w:tcPr>
          <w:p>
            <w:pPr>
              <w:spacing w:line="200" w:lineRule="exact"/>
              <w:jc w:val="center"/>
              <w:rPr>
                <w:rFonts w:hint="default" w:ascii="Arial"/>
                <w:sz w:val="16"/>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集中采购落实情况</w:t>
            </w:r>
          </w:p>
        </w:tc>
        <w:tc>
          <w:tcPr>
            <w:tcW w:w="1173" w:type="dxa"/>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完成国家组织集中采购中选产品约定采购量</w:t>
            </w:r>
          </w:p>
        </w:tc>
        <w:tc>
          <w:tcPr>
            <w:tcW w:w="1712" w:type="dxa"/>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已完成国家集采6批次集中采购，各批次采购进度较好</w:t>
            </w:r>
          </w:p>
        </w:tc>
        <w:tc>
          <w:tcPr>
            <w:tcW w:w="650" w:type="dxa"/>
            <w:vAlign w:val="center"/>
          </w:tcPr>
          <w:p>
            <w:pPr>
              <w:spacing w:line="200" w:lineRule="exact"/>
              <w:jc w:val="center"/>
              <w:rPr>
                <w:rFonts w:hint="default" w:ascii="Arial"/>
                <w:sz w:val="16"/>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pPr>
              <w:spacing w:line="189"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vAlign w:val="top"/>
          </w:tcPr>
          <w:p>
            <w:pPr>
              <w:rPr>
                <w:rFonts w:ascii="Arial"/>
                <w:sz w:val="21"/>
              </w:rPr>
            </w:pPr>
          </w:p>
        </w:tc>
        <w:tc>
          <w:tcPr>
            <w:tcW w:w="2757" w:type="dxa"/>
            <w:gridSpan w:val="2"/>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lang w:val="en-US" w:eastAsia="zh-CN"/>
              </w:rPr>
              <w:t>基金预警和风险防控能力</w:t>
            </w:r>
          </w:p>
        </w:tc>
        <w:tc>
          <w:tcPr>
            <w:tcW w:w="1173" w:type="dxa"/>
            <w:vAlign w:val="center"/>
          </w:tcPr>
          <w:p>
            <w:pPr>
              <w:spacing w:line="210" w:lineRule="exact"/>
              <w:jc w:val="center"/>
              <w:rPr>
                <w:rFonts w:hint="default" w:ascii="Arial" w:hAnsi="Arial" w:eastAsia="宋体" w:cs="Arial"/>
                <w:snapToGrid w:val="0"/>
                <w:color w:val="000000"/>
                <w:kern w:val="0"/>
                <w:sz w:val="18"/>
                <w:szCs w:val="21"/>
                <w:lang w:val="en-US" w:eastAsia="zh-CN" w:bidi="ar-SA"/>
              </w:rPr>
            </w:pPr>
            <w:r>
              <w:rPr>
                <w:rFonts w:hint="eastAsia" w:ascii="Arial"/>
                <w:sz w:val="18"/>
                <w:lang w:val="en-US" w:eastAsia="zh-CN"/>
              </w:rPr>
              <w:t>有所提高</w:t>
            </w:r>
          </w:p>
        </w:tc>
        <w:tc>
          <w:tcPr>
            <w:tcW w:w="1712" w:type="dxa"/>
            <w:vAlign w:val="center"/>
          </w:tcPr>
          <w:p>
            <w:pPr>
              <w:spacing w:line="210" w:lineRule="exact"/>
              <w:jc w:val="center"/>
              <w:rPr>
                <w:rFonts w:ascii="Arial" w:hAnsi="Arial" w:eastAsia="Arial" w:cs="Arial"/>
                <w:snapToGrid w:val="0"/>
                <w:color w:val="000000"/>
                <w:kern w:val="0"/>
                <w:sz w:val="18"/>
                <w:szCs w:val="21"/>
                <w:lang w:val="en-US" w:eastAsia="en-US" w:bidi="ar-SA"/>
              </w:rPr>
            </w:pPr>
            <w:r>
              <w:rPr>
                <w:rFonts w:hint="eastAsia" w:ascii="Arial"/>
                <w:color w:val="auto"/>
                <w:sz w:val="18"/>
                <w:lang w:val="en-US" w:eastAsia="zh-CN"/>
              </w:rPr>
              <w:t>定期开展基金运行分析，开展经办</w:t>
            </w:r>
            <w:r>
              <w:rPr>
                <w:rFonts w:hint="eastAsia"/>
                <w:color w:val="auto"/>
                <w:sz w:val="18"/>
                <w:lang w:val="en-US" w:eastAsia="zh-CN"/>
              </w:rPr>
              <w:t>机构监督</w:t>
            </w:r>
            <w:r>
              <w:rPr>
                <w:rFonts w:hint="eastAsia" w:ascii="Arial"/>
                <w:color w:val="auto"/>
                <w:sz w:val="18"/>
                <w:lang w:val="en-US" w:eastAsia="zh-CN"/>
              </w:rPr>
              <w:t>检查</w:t>
            </w:r>
          </w:p>
        </w:tc>
        <w:tc>
          <w:tcPr>
            <w:tcW w:w="650" w:type="dxa"/>
            <w:vAlign w:val="center"/>
          </w:tcPr>
          <w:p>
            <w:pPr>
              <w:spacing w:line="200" w:lineRule="exact"/>
              <w:jc w:val="center"/>
              <w:rPr>
                <w:rFonts w:hint="default" w:ascii="Arial"/>
                <w:sz w:val="17"/>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pPr>
              <w:spacing w:line="200" w:lineRule="exact"/>
              <w:rPr>
                <w:rFonts w:ascii="Arial"/>
                <w:sz w:val="17"/>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05" w:type="dxa"/>
            <w:vMerge w:val="continue"/>
            <w:tcBorders>
              <w:top w:val="nil"/>
              <w:bottom w:val="nil"/>
            </w:tcBorders>
            <w:textDirection w:val="tbRlV"/>
            <w:vAlign w:val="top"/>
          </w:tcPr>
          <w:p>
            <w:pPr>
              <w:rPr>
                <w:rFonts w:ascii="Arial"/>
                <w:sz w:val="21"/>
              </w:rPr>
            </w:pPr>
          </w:p>
        </w:tc>
        <w:tc>
          <w:tcPr>
            <w:tcW w:w="400" w:type="dxa"/>
            <w:vMerge w:val="continue"/>
            <w:textDirection w:val="tbRlV"/>
            <w:vAlign w:val="top"/>
          </w:tcPr>
          <w:p>
            <w:pPr>
              <w:rPr>
                <w:rFonts w:ascii="Arial"/>
                <w:sz w:val="21"/>
              </w:rPr>
            </w:pPr>
          </w:p>
        </w:tc>
        <w:tc>
          <w:tcPr>
            <w:tcW w:w="819" w:type="dxa"/>
            <w:vMerge w:val="continue"/>
            <w:tcBorders>
              <w:bottom w:val="nil"/>
            </w:tcBorders>
            <w:vAlign w:val="top"/>
          </w:tcPr>
          <w:p>
            <w:pPr>
              <w:pStyle w:val="8"/>
              <w:spacing w:before="136" w:line="208" w:lineRule="auto"/>
              <w:ind w:left="139" w:right="76" w:hanging="79"/>
              <w:rPr>
                <w:sz w:val="17"/>
                <w:szCs w:val="17"/>
              </w:rPr>
            </w:pPr>
          </w:p>
        </w:tc>
        <w:tc>
          <w:tcPr>
            <w:tcW w:w="2757" w:type="dxa"/>
            <w:gridSpan w:val="2"/>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医保目录管理规范情况</w:t>
            </w:r>
          </w:p>
        </w:tc>
        <w:tc>
          <w:tcPr>
            <w:tcW w:w="1173" w:type="dxa"/>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default" w:ascii="Arial"/>
                <w:sz w:val="18"/>
                <w:lang w:val="en-US" w:eastAsia="zh-CN"/>
              </w:rPr>
              <w:t>年内未出现违反目录管理政策情况</w:t>
            </w:r>
          </w:p>
        </w:tc>
        <w:tc>
          <w:tcPr>
            <w:tcW w:w="1712" w:type="dxa"/>
            <w:vAlign w:val="center"/>
          </w:tcPr>
          <w:p>
            <w:pPr>
              <w:spacing w:line="210" w:lineRule="exact"/>
              <w:jc w:val="center"/>
              <w:rPr>
                <w:rFonts w:ascii="Arial" w:hAnsi="Arial" w:eastAsia="Arial" w:cs="Arial"/>
                <w:snapToGrid w:val="0"/>
                <w:color w:val="000000"/>
                <w:kern w:val="0"/>
                <w:sz w:val="17"/>
                <w:szCs w:val="21"/>
                <w:lang w:val="en-US" w:eastAsia="en-US" w:bidi="ar-SA"/>
              </w:rPr>
            </w:pPr>
            <w:r>
              <w:rPr>
                <w:rFonts w:hint="default" w:ascii="Arial"/>
                <w:sz w:val="18"/>
                <w:lang w:val="en-US" w:eastAsia="zh-CN"/>
              </w:rPr>
              <w:t>按自治区医保局要求开展工作，不存在违规行为。</w:t>
            </w:r>
          </w:p>
        </w:tc>
        <w:tc>
          <w:tcPr>
            <w:tcW w:w="650" w:type="dxa"/>
            <w:vAlign w:val="center"/>
          </w:tcPr>
          <w:p>
            <w:pPr>
              <w:spacing w:line="200" w:lineRule="exact"/>
              <w:jc w:val="center"/>
              <w:rPr>
                <w:rFonts w:hint="default" w:ascii="Arial"/>
                <w:sz w:val="16"/>
                <w:lang w:val="en-US"/>
              </w:rPr>
            </w:pPr>
            <w:r>
              <w:rPr>
                <w:rFonts w:hint="default"/>
                <w:sz w:val="17"/>
                <w:lang w:val="en-US"/>
              </w:rPr>
              <w:t>4</w:t>
            </w:r>
          </w:p>
        </w:tc>
        <w:tc>
          <w:tcPr>
            <w:tcW w:w="738" w:type="dxa"/>
            <w:vAlign w:val="center"/>
          </w:tcPr>
          <w:p>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pPr>
              <w:rPr>
                <w:rFonts w:ascii="Arial"/>
                <w:sz w:val="21"/>
              </w:rPr>
            </w:pPr>
          </w:p>
        </w:tc>
        <w:tc>
          <w:tcPr>
            <w:tcW w:w="400" w:type="dxa"/>
            <w:tcBorders>
              <w:bottom w:val="nil"/>
            </w:tcBorders>
            <w:vAlign w:val="top"/>
          </w:tcPr>
          <w:p>
            <w:pPr>
              <w:pStyle w:val="8"/>
              <w:spacing w:before="125" w:line="226" w:lineRule="auto"/>
              <w:ind w:left="19" w:right="36"/>
              <w:jc w:val="both"/>
              <w:rPr>
                <w:sz w:val="17"/>
                <w:szCs w:val="17"/>
              </w:rPr>
            </w:pPr>
            <w:r>
              <w:rPr>
                <w:spacing w:val="-4"/>
                <w:sz w:val="17"/>
                <w:szCs w:val="17"/>
              </w:rPr>
              <w:t>满意</w:t>
            </w:r>
            <w:r>
              <w:rPr>
                <w:sz w:val="17"/>
                <w:szCs w:val="17"/>
              </w:rPr>
              <w:t xml:space="preserve"> </w:t>
            </w:r>
            <w:r>
              <w:rPr>
                <w:spacing w:val="-3"/>
                <w:sz w:val="17"/>
                <w:szCs w:val="17"/>
              </w:rPr>
              <w:t>度指</w:t>
            </w:r>
            <w:r>
              <w:rPr>
                <w:sz w:val="17"/>
                <w:szCs w:val="17"/>
              </w:rPr>
              <w:t xml:space="preserve"> </w:t>
            </w:r>
            <w:r>
              <w:rPr>
                <w:spacing w:val="26"/>
                <w:w w:val="127"/>
                <w:sz w:val="17"/>
                <w:szCs w:val="17"/>
              </w:rPr>
              <w:t>标</w:t>
            </w:r>
          </w:p>
        </w:tc>
        <w:tc>
          <w:tcPr>
            <w:tcW w:w="819" w:type="dxa"/>
            <w:tcBorders>
              <w:bottom w:val="nil"/>
            </w:tcBorders>
            <w:vAlign w:val="top"/>
          </w:tcPr>
          <w:p>
            <w:pPr>
              <w:pStyle w:val="8"/>
              <w:spacing w:before="36" w:line="217" w:lineRule="auto"/>
              <w:ind w:left="60"/>
              <w:rPr>
                <w:sz w:val="17"/>
                <w:szCs w:val="17"/>
              </w:rPr>
            </w:pPr>
            <w:r>
              <w:rPr>
                <w:spacing w:val="-2"/>
                <w:sz w:val="17"/>
                <w:szCs w:val="17"/>
              </w:rPr>
              <w:t>服务对象</w:t>
            </w:r>
          </w:p>
          <w:p>
            <w:pPr>
              <w:pStyle w:val="8"/>
              <w:spacing w:line="207" w:lineRule="auto"/>
              <w:ind w:left="60"/>
              <w:rPr>
                <w:sz w:val="17"/>
                <w:szCs w:val="17"/>
              </w:rPr>
            </w:pPr>
            <w:r>
              <w:rPr>
                <w:spacing w:val="-2"/>
                <w:sz w:val="17"/>
                <w:szCs w:val="17"/>
              </w:rPr>
              <w:t>满意度指</w:t>
            </w:r>
          </w:p>
          <w:p>
            <w:pPr>
              <w:pStyle w:val="8"/>
              <w:spacing w:line="198" w:lineRule="auto"/>
              <w:ind w:left="320"/>
              <w:rPr>
                <w:sz w:val="17"/>
                <w:szCs w:val="17"/>
              </w:rPr>
            </w:pPr>
            <w:r>
              <w:rPr>
                <w:sz w:val="17"/>
                <w:szCs w:val="17"/>
              </w:rPr>
              <w:t>标</w:t>
            </w:r>
          </w:p>
        </w:tc>
        <w:tc>
          <w:tcPr>
            <w:tcW w:w="2757" w:type="dxa"/>
            <w:gridSpan w:val="2"/>
            <w:vAlign w:val="center"/>
          </w:tcPr>
          <w:p>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参保人员对医保服务满意度</w:t>
            </w:r>
          </w:p>
        </w:tc>
        <w:tc>
          <w:tcPr>
            <w:tcW w:w="1173" w:type="dxa"/>
            <w:vAlign w:val="center"/>
          </w:tcPr>
          <w:p>
            <w:pPr>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≧85%</w:t>
            </w:r>
          </w:p>
        </w:tc>
        <w:tc>
          <w:tcPr>
            <w:tcW w:w="1712" w:type="dxa"/>
            <w:vAlign w:val="center"/>
          </w:tcPr>
          <w:p>
            <w:pPr>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90</w:t>
            </w:r>
            <w:r>
              <w:rPr>
                <w:rFonts w:hint="eastAsia" w:ascii="Arial"/>
                <w:sz w:val="18"/>
                <w:lang w:val="en-US" w:eastAsia="zh-CN"/>
              </w:rPr>
              <w:t>%</w:t>
            </w:r>
          </w:p>
        </w:tc>
        <w:tc>
          <w:tcPr>
            <w:tcW w:w="650" w:type="dxa"/>
            <w:vAlign w:val="center"/>
          </w:tcPr>
          <w:p>
            <w:pPr>
              <w:spacing w:line="190" w:lineRule="exact"/>
              <w:jc w:val="center"/>
              <w:rPr>
                <w:rFonts w:hint="default" w:ascii="Arial"/>
                <w:sz w:val="16"/>
                <w:lang w:val="en-US"/>
              </w:rPr>
            </w:pPr>
            <w:r>
              <w:rPr>
                <w:rFonts w:hint="default"/>
                <w:sz w:val="16"/>
                <w:lang w:val="en-US"/>
              </w:rPr>
              <w:t>5</w:t>
            </w:r>
          </w:p>
        </w:tc>
        <w:tc>
          <w:tcPr>
            <w:tcW w:w="738" w:type="dxa"/>
            <w:vAlign w:val="center"/>
          </w:tcPr>
          <w:p>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pPr>
              <w:spacing w:line="190" w:lineRule="exact"/>
              <w:rPr>
                <w:rFonts w:ascii="Arial"/>
                <w:sz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66" w:type="dxa"/>
            <w:gridSpan w:val="7"/>
            <w:vAlign w:val="top"/>
          </w:tcPr>
          <w:p>
            <w:pPr>
              <w:pStyle w:val="8"/>
              <w:spacing w:before="47" w:line="209" w:lineRule="auto"/>
              <w:ind w:left="3004"/>
              <w:rPr>
                <w:sz w:val="17"/>
                <w:szCs w:val="17"/>
              </w:rPr>
            </w:pPr>
            <w:r>
              <w:rPr>
                <w:spacing w:val="-3"/>
                <w:sz w:val="17"/>
                <w:szCs w:val="17"/>
              </w:rPr>
              <w:t>总分</w:t>
            </w:r>
          </w:p>
        </w:tc>
        <w:tc>
          <w:tcPr>
            <w:tcW w:w="650" w:type="dxa"/>
            <w:vAlign w:val="center"/>
          </w:tcPr>
          <w:p>
            <w:pPr>
              <w:pStyle w:val="8"/>
              <w:spacing w:before="89" w:line="163" w:lineRule="auto"/>
              <w:ind w:left="155"/>
              <w:jc w:val="center"/>
              <w:rPr>
                <w:sz w:val="17"/>
                <w:szCs w:val="17"/>
              </w:rPr>
            </w:pPr>
            <w:r>
              <w:rPr>
                <w:spacing w:val="-5"/>
                <w:sz w:val="17"/>
                <w:szCs w:val="17"/>
              </w:rPr>
              <w:t>100</w:t>
            </w:r>
          </w:p>
        </w:tc>
        <w:tc>
          <w:tcPr>
            <w:tcW w:w="738" w:type="dxa"/>
            <w:vAlign w:val="center"/>
          </w:tcPr>
          <w:p>
            <w:pPr>
              <w:spacing w:line="240" w:lineRule="exact"/>
              <w:jc w:val="center"/>
              <w:rPr>
                <w:rFonts w:hint="default" w:ascii="Arial"/>
                <w:sz w:val="20"/>
                <w:lang w:val="en-US"/>
              </w:rPr>
            </w:pPr>
            <w:r>
              <w:rPr>
                <w:rFonts w:hint="default"/>
                <w:sz w:val="20"/>
                <w:lang w:val="en-US"/>
              </w:rPr>
              <w:t>99</w:t>
            </w:r>
          </w:p>
        </w:tc>
        <w:tc>
          <w:tcPr>
            <w:tcW w:w="955"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24" w:type="dxa"/>
            <w:gridSpan w:val="3"/>
            <w:vAlign w:val="center"/>
          </w:tcPr>
          <w:p>
            <w:pPr>
              <w:pStyle w:val="8"/>
              <w:spacing w:before="106" w:line="219" w:lineRule="auto"/>
              <w:ind w:left="634"/>
              <w:jc w:val="center"/>
              <w:rPr>
                <w:sz w:val="17"/>
                <w:szCs w:val="17"/>
              </w:rPr>
            </w:pPr>
            <w:r>
              <w:rPr>
                <w:spacing w:val="9"/>
                <w:sz w:val="17"/>
                <w:szCs w:val="17"/>
              </w:rPr>
              <w:t>说明</w:t>
            </w:r>
          </w:p>
        </w:tc>
        <w:tc>
          <w:tcPr>
            <w:tcW w:w="7985" w:type="dxa"/>
            <w:gridSpan w:val="7"/>
            <w:vAlign w:val="center"/>
          </w:tcPr>
          <w:p>
            <w:pPr>
              <w:pStyle w:val="8"/>
              <w:spacing w:before="15" w:line="189" w:lineRule="auto"/>
              <w:ind w:left="10"/>
              <w:jc w:val="center"/>
              <w:rPr>
                <w:rFonts w:hint="eastAsia" w:eastAsia="宋体"/>
                <w:sz w:val="17"/>
                <w:szCs w:val="17"/>
                <w:lang w:eastAsia="zh-CN"/>
              </w:rPr>
            </w:pPr>
            <w:r>
              <w:rPr>
                <w:rFonts w:hint="eastAsia"/>
                <w:spacing w:val="-7"/>
                <w:sz w:val="17"/>
                <w:szCs w:val="17"/>
                <w:lang w:val="en-US" w:eastAsia="zh-CN"/>
              </w:rPr>
              <w:t>无</w:t>
            </w:r>
          </w:p>
        </w:tc>
      </w:tr>
    </w:tbl>
    <w:p>
      <w:pPr>
        <w:spacing w:before="41" w:line="219" w:lineRule="auto"/>
        <w:ind w:left="24"/>
        <w:rPr>
          <w:rFonts w:ascii="宋体" w:hAnsi="宋体" w:eastAsia="宋体" w:cs="宋体"/>
          <w:sz w:val="16"/>
          <w:szCs w:val="16"/>
        </w:rPr>
      </w:pPr>
      <w:r>
        <w:rPr>
          <w:rFonts w:ascii="宋体" w:hAnsi="宋体" w:eastAsia="宋体" w:cs="宋体"/>
          <w:spacing w:val="-1"/>
          <w:sz w:val="16"/>
          <w:szCs w:val="16"/>
        </w:rPr>
        <w:t>注：1.该表由中央主管部门填写。</w:t>
      </w:r>
    </w:p>
    <w:p>
      <w:pPr>
        <w:spacing w:before="89" w:line="219" w:lineRule="auto"/>
        <w:ind w:left="334"/>
        <w:rPr>
          <w:rFonts w:ascii="宋体" w:hAnsi="宋体" w:eastAsia="宋体" w:cs="宋体"/>
          <w:sz w:val="16"/>
          <w:szCs w:val="16"/>
        </w:rPr>
      </w:pPr>
      <w:r>
        <w:rPr>
          <w:rFonts w:ascii="宋体" w:hAnsi="宋体" w:eastAsia="宋体" w:cs="宋体"/>
          <w:spacing w:val="-1"/>
          <w:sz w:val="16"/>
          <w:szCs w:val="16"/>
        </w:rPr>
        <w:t>2.其他资金包括与中央财政资金、地方财政资金共同投入的自有资金、社会资金，以及以前年度的结转结余资金等。</w:t>
      </w:r>
    </w:p>
    <w:p>
      <w:pPr>
        <w:spacing w:before="40" w:line="219" w:lineRule="auto"/>
        <w:ind w:left="334"/>
        <w:rPr>
          <w:rFonts w:ascii="宋体" w:hAnsi="宋体" w:eastAsia="宋体" w:cs="宋体"/>
          <w:sz w:val="16"/>
          <w:szCs w:val="16"/>
        </w:rPr>
      </w:pPr>
      <w:r>
        <w:rPr>
          <w:rFonts w:ascii="宋体" w:hAnsi="宋体" w:eastAsia="宋体" w:cs="宋体"/>
          <w:sz w:val="16"/>
          <w:szCs w:val="16"/>
        </w:rPr>
        <w:t>3.资金管理情况需汇总反映各级政府的资金管理情况，对违反预算管理</w:t>
      </w:r>
      <w:r>
        <w:rPr>
          <w:rFonts w:ascii="宋体" w:hAnsi="宋体" w:eastAsia="宋体" w:cs="宋体"/>
          <w:spacing w:val="-1"/>
          <w:sz w:val="16"/>
          <w:szCs w:val="16"/>
        </w:rPr>
        <w:t>规定行为的，原则上每发现1例扣0.5分，扣完为止。</w:t>
      </w:r>
    </w:p>
    <w:p>
      <w:pPr>
        <w:spacing w:before="30" w:line="220" w:lineRule="auto"/>
        <w:ind w:left="34" w:right="129" w:firstLine="300"/>
        <w:rPr>
          <w:rFonts w:ascii="宋体" w:hAnsi="宋体" w:eastAsia="宋体" w:cs="宋体"/>
          <w:sz w:val="16"/>
          <w:szCs w:val="16"/>
        </w:rPr>
      </w:pPr>
      <w:r>
        <w:rPr>
          <w:rFonts w:ascii="宋体" w:hAnsi="宋体" w:eastAsia="宋体" w:cs="宋体"/>
          <w:spacing w:val="2"/>
          <w:sz w:val="16"/>
          <w:szCs w:val="16"/>
        </w:rPr>
        <w:t>4.专项转移支付无需填写“支出责任履行情况”项，相关分值(5分)分摊到“分配科学性”、“下达及时性”、“拨付合规性”、</w:t>
      </w:r>
      <w:r>
        <w:rPr>
          <w:rFonts w:ascii="宋体" w:hAnsi="宋体" w:eastAsia="宋体" w:cs="宋体"/>
          <w:spacing w:val="11"/>
          <w:sz w:val="16"/>
          <w:szCs w:val="16"/>
        </w:rPr>
        <w:t xml:space="preserve"> </w:t>
      </w:r>
      <w:r>
        <w:rPr>
          <w:rFonts w:ascii="宋体" w:hAnsi="宋体" w:eastAsia="宋体" w:cs="宋体"/>
          <w:spacing w:val="-1"/>
          <w:sz w:val="16"/>
          <w:szCs w:val="16"/>
        </w:rPr>
        <w:t>“使用规范性”和“政策目标实现情况”等5项上。</w:t>
      </w:r>
    </w:p>
    <w:p>
      <w:pPr>
        <w:spacing w:before="21" w:line="228" w:lineRule="auto"/>
        <w:ind w:left="44" w:firstLine="290"/>
        <w:rPr>
          <w:rFonts w:ascii="宋体" w:hAnsi="宋体" w:eastAsia="宋体" w:cs="宋体"/>
          <w:sz w:val="16"/>
          <w:szCs w:val="16"/>
        </w:rPr>
      </w:pPr>
      <w:r>
        <w:rPr>
          <w:rFonts w:ascii="宋体" w:hAnsi="宋体" w:eastAsia="宋体" w:cs="宋体"/>
          <w:sz w:val="16"/>
          <w:szCs w:val="16"/>
        </w:rPr>
        <w:t>5.中央主管部门商财政部主管司局确定各项绩效指标分值权重，并根据全年实际完成情况填写得分，各项指标得分加总形成该</w:t>
      </w:r>
      <w:r>
        <w:rPr>
          <w:rFonts w:ascii="宋体" w:hAnsi="宋体" w:eastAsia="宋体" w:cs="宋体"/>
          <w:spacing w:val="-1"/>
          <w:sz w:val="16"/>
          <w:szCs w:val="16"/>
        </w:rPr>
        <w:t>转移支</w:t>
      </w:r>
      <w:r>
        <w:rPr>
          <w:rFonts w:ascii="宋体" w:hAnsi="宋体" w:eastAsia="宋体" w:cs="宋体"/>
          <w:sz w:val="16"/>
          <w:szCs w:val="16"/>
        </w:rPr>
        <w:t xml:space="preserve"> </w:t>
      </w:r>
      <w:r>
        <w:rPr>
          <w:rFonts w:ascii="宋体" w:hAnsi="宋体" w:eastAsia="宋体" w:cs="宋体"/>
          <w:spacing w:val="-1"/>
          <w:sz w:val="16"/>
          <w:szCs w:val="16"/>
        </w:rPr>
        <w:t>付绩效自评总分。原则上，</w:t>
      </w:r>
      <w:r>
        <w:rPr>
          <w:rFonts w:ascii="宋体" w:hAnsi="宋体" w:eastAsia="宋体" w:cs="宋体"/>
          <w:spacing w:val="52"/>
          <w:sz w:val="16"/>
          <w:szCs w:val="16"/>
        </w:rPr>
        <w:t xml:space="preserve"> </w:t>
      </w:r>
      <w:r>
        <w:rPr>
          <w:rFonts w:ascii="宋体" w:hAnsi="宋体" w:eastAsia="宋体" w:cs="宋体"/>
          <w:spacing w:val="-1"/>
          <w:sz w:val="16"/>
          <w:szCs w:val="16"/>
        </w:rPr>
        <w:t>一级指标分值设置为：资金投入情况10分、资金管理情况40分、产出指标30分、效益指标15分、满意度指标5</w:t>
      </w:r>
      <w:r>
        <w:rPr>
          <w:rFonts w:ascii="宋体" w:hAnsi="宋体" w:eastAsia="宋体" w:cs="宋体"/>
          <w:sz w:val="16"/>
          <w:szCs w:val="16"/>
        </w:rPr>
        <w:t xml:space="preserve"> </w:t>
      </w:r>
      <w:r>
        <w:rPr>
          <w:rFonts w:ascii="宋体" w:hAnsi="宋体" w:eastAsia="宋体" w:cs="宋体"/>
          <w:spacing w:val="3"/>
          <w:sz w:val="16"/>
          <w:szCs w:val="16"/>
        </w:rPr>
        <w:t xml:space="preserve">分。如有特殊情况，除资金投入情况、资金管理情况外，其他指标分值权重可适当调整(总分应为100分)。巡视、审计和财会监督中发 </w:t>
      </w:r>
      <w:r>
        <w:rPr>
          <w:rFonts w:ascii="宋体" w:hAnsi="宋体" w:eastAsia="宋体" w:cs="宋体"/>
          <w:spacing w:val="-3"/>
          <w:sz w:val="16"/>
          <w:szCs w:val="16"/>
        </w:rPr>
        <w:t>现问题的应酌情扣分。</w:t>
      </w:r>
    </w:p>
    <w:p>
      <w:pPr>
        <w:spacing w:line="228" w:lineRule="auto"/>
        <w:rPr>
          <w:rFonts w:ascii="宋体" w:hAnsi="宋体" w:eastAsia="宋体" w:cs="宋体"/>
          <w:sz w:val="16"/>
          <w:szCs w:val="16"/>
        </w:rPr>
        <w:sectPr>
          <w:pgSz w:w="11900" w:h="16820"/>
          <w:pgMar w:top="1045" w:right="1160" w:bottom="400" w:left="1105" w:header="0" w:footer="0" w:gutter="0"/>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60334"/>
    <w:multiLevelType w:val="singleLevel"/>
    <w:tmpl w:val="9BF603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A7DBA"/>
    <w:rsid w:val="0B5F013B"/>
    <w:rsid w:val="131327E2"/>
    <w:rsid w:val="1FF52063"/>
    <w:rsid w:val="351920A0"/>
    <w:rsid w:val="3BF91F43"/>
    <w:rsid w:val="3E5934DD"/>
    <w:rsid w:val="4B164197"/>
    <w:rsid w:val="50E9B80A"/>
    <w:rsid w:val="554A7DBA"/>
    <w:rsid w:val="6C7B6A08"/>
    <w:rsid w:val="6ED2309A"/>
    <w:rsid w:val="772FDE67"/>
    <w:rsid w:val="7777F836"/>
    <w:rsid w:val="77F9B346"/>
    <w:rsid w:val="7836313C"/>
    <w:rsid w:val="7C892613"/>
    <w:rsid w:val="7DDE4901"/>
    <w:rsid w:val="ADFE72AF"/>
    <w:rsid w:val="B2EFDCF7"/>
    <w:rsid w:val="B61FDD26"/>
    <w:rsid w:val="D65F16B0"/>
    <w:rsid w:val="DF3FB7A5"/>
    <w:rsid w:val="DFB6C3B4"/>
    <w:rsid w:val="E3D7C626"/>
    <w:rsid w:val="EBFD0F5D"/>
    <w:rsid w:val="F85F615A"/>
    <w:rsid w:val="FB37D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5"/>
      <w:szCs w:val="35"/>
      <w:lang w:val="en-US" w:eastAsia="en-US" w:bidi="ar-SA"/>
    </w:rPr>
  </w:style>
  <w:style w:type="paragraph" w:styleId="3">
    <w:name w:val="Body Text Indent"/>
    <w:basedOn w:val="1"/>
    <w:next w:val="4"/>
    <w:qFormat/>
    <w:uiPriority w:val="0"/>
    <w:pPr>
      <w:ind w:firstLine="200" w:firstLineChars="200"/>
    </w:pPr>
    <w:rPr>
      <w:rFonts w:eastAsia="宋体"/>
      <w:sz w:val="28"/>
    </w:rPr>
  </w:style>
  <w:style w:type="paragraph" w:styleId="4">
    <w:name w:val="toc 2"/>
    <w:basedOn w:val="1"/>
    <w:next w:val="1"/>
    <w:unhideWhenUsed/>
    <w:qFormat/>
    <w:uiPriority w:val="39"/>
    <w:pPr>
      <w:ind w:left="420"/>
      <w:jc w:val="center"/>
    </w:pPr>
    <w:rPr>
      <w:rFonts w:ascii="黑体" w:eastAsia="黑体"/>
      <w:sz w:val="32"/>
      <w:szCs w:val="32"/>
    </w:rPr>
  </w:style>
  <w:style w:type="paragraph" w:styleId="5">
    <w:name w:val="Title"/>
    <w:basedOn w:val="1"/>
    <w:next w:val="3"/>
    <w:qFormat/>
    <w:uiPriority w:val="0"/>
    <w:pPr>
      <w:ind w:left="640" w:leftChars="200"/>
      <w:outlineLvl w:val="0"/>
    </w:pPr>
    <w:rPr>
      <w:rFonts w:ascii="Arial" w:hAnsi="Arial" w:eastAsia="仿宋_GB2312"/>
      <w:b/>
      <w:sz w:val="32"/>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2024-05-16T10:04:00Z</dcterms:created>
  <dc:creator>Lo</dc:creator>
  <cp:lastModifiedBy>wh</cp:lastModifiedBy>
  <dcterms:modified xsi:type="dcterms:W3CDTF">2024-05-27T10:20:48Z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0AD1EFE6383346D6BCF3BFA1167CCA3D</vt:lpwstr>
  </property>
</Properties>
</file>