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7" w:line="224" w:lineRule="auto"/>
        <w:ind w:left="84"/>
        <w:rPr>
          <w:rFonts w:ascii="黑体" w:hAnsi="黑体" w:eastAsia="黑体" w:cs="黑体"/>
          <w:sz w:val="23"/>
          <w:szCs w:val="23"/>
        </w:rPr>
      </w:pPr>
      <w:r>
        <w:rPr>
          <w:rFonts w:ascii="黑体" w:hAnsi="黑体" w:eastAsia="黑体" w:cs="黑体"/>
          <w:spacing w:val="-6"/>
          <w:sz w:val="23"/>
          <w:szCs w:val="23"/>
        </w:rPr>
        <w:t>附件4</w:t>
      </w:r>
    </w:p>
    <w:p>
      <w:pPr>
        <w:spacing w:before="75" w:line="219" w:lineRule="auto"/>
        <w:ind w:left="3344"/>
        <w:rPr>
          <w:rFonts w:ascii="宋体" w:hAnsi="宋体" w:eastAsia="宋体" w:cs="宋体"/>
          <w:sz w:val="26"/>
          <w:szCs w:val="26"/>
        </w:rPr>
      </w:pPr>
      <w:r>
        <w:rPr>
          <w:rFonts w:hint="eastAsia" w:ascii="宋体" w:hAnsi="宋体" w:eastAsia="宋体" w:cs="宋体"/>
          <w:b/>
          <w:bCs/>
          <w:spacing w:val="-18"/>
          <w:sz w:val="26"/>
          <w:szCs w:val="26"/>
          <w:lang w:val="en-US" w:eastAsia="zh-CN"/>
        </w:rPr>
        <w:t>乌海市医疗保障局</w:t>
      </w:r>
      <w:r>
        <w:rPr>
          <w:rFonts w:ascii="宋体" w:hAnsi="宋体" w:eastAsia="宋体" w:cs="宋体"/>
          <w:b/>
          <w:bCs/>
          <w:spacing w:val="-18"/>
          <w:sz w:val="26"/>
          <w:szCs w:val="26"/>
        </w:rPr>
        <w:t>转移支付整体绩效自评表</w:t>
      </w:r>
    </w:p>
    <w:p>
      <w:pPr>
        <w:spacing w:before="90" w:line="195" w:lineRule="auto"/>
        <w:ind w:left="4435"/>
        <w:rPr>
          <w:rFonts w:ascii="宋体" w:hAnsi="宋体" w:eastAsia="宋体" w:cs="宋体"/>
          <w:sz w:val="16"/>
          <w:szCs w:val="16"/>
        </w:rPr>
      </w:pPr>
      <w:r>
        <w:rPr>
          <w:rFonts w:ascii="宋体" w:hAnsi="宋体" w:eastAsia="宋体" w:cs="宋体"/>
          <w:spacing w:val="4"/>
          <w:sz w:val="16"/>
          <w:szCs w:val="16"/>
        </w:rPr>
        <w:t>(2023年度)</w:t>
      </w:r>
    </w:p>
    <w:tbl>
      <w:tblPr>
        <w:tblStyle w:val="9"/>
        <w:tblW w:w="96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5"/>
        <w:gridCol w:w="400"/>
        <w:gridCol w:w="819"/>
        <w:gridCol w:w="1818"/>
        <w:gridCol w:w="939"/>
        <w:gridCol w:w="1173"/>
        <w:gridCol w:w="1712"/>
        <w:gridCol w:w="650"/>
        <w:gridCol w:w="738"/>
        <w:gridCol w:w="9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624" w:type="dxa"/>
            <w:gridSpan w:val="3"/>
            <w:vAlign w:val="top"/>
          </w:tcPr>
          <w:p>
            <w:pPr>
              <w:pStyle w:val="8"/>
              <w:spacing w:before="51" w:line="219" w:lineRule="auto"/>
              <w:ind w:left="294"/>
              <w:rPr>
                <w:sz w:val="17"/>
                <w:szCs w:val="17"/>
              </w:rPr>
            </w:pPr>
            <w:r>
              <w:rPr>
                <w:spacing w:val="-2"/>
                <w:sz w:val="17"/>
                <w:szCs w:val="17"/>
              </w:rPr>
              <w:t>转移支付名称</w:t>
            </w:r>
          </w:p>
        </w:tc>
        <w:tc>
          <w:tcPr>
            <w:tcW w:w="7985" w:type="dxa"/>
            <w:gridSpan w:val="7"/>
            <w:vAlign w:val="center"/>
          </w:tcPr>
          <w:p>
            <w:pPr>
              <w:jc w:val="center"/>
              <w:rPr>
                <w:rFonts w:ascii="Arial"/>
                <w:sz w:val="21"/>
              </w:rPr>
            </w:pPr>
            <w:r>
              <w:rPr>
                <w:rFonts w:hint="eastAsia" w:ascii="宋体" w:hAnsi="宋体" w:eastAsia="宋体" w:cs="宋体"/>
                <w:spacing w:val="1"/>
              </w:rPr>
              <w:t>城乡居民基本医疗保险补助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624" w:type="dxa"/>
            <w:gridSpan w:val="3"/>
            <w:vAlign w:val="top"/>
          </w:tcPr>
          <w:p>
            <w:pPr>
              <w:pStyle w:val="8"/>
              <w:spacing w:before="38" w:line="219" w:lineRule="auto"/>
              <w:ind w:left="294"/>
              <w:rPr>
                <w:sz w:val="17"/>
                <w:szCs w:val="17"/>
              </w:rPr>
            </w:pPr>
            <w:r>
              <w:rPr>
                <w:spacing w:val="3"/>
                <w:sz w:val="17"/>
                <w:szCs w:val="17"/>
              </w:rPr>
              <w:t>中央主管部门</w:t>
            </w:r>
          </w:p>
        </w:tc>
        <w:tc>
          <w:tcPr>
            <w:tcW w:w="7985" w:type="dxa"/>
            <w:gridSpan w:val="7"/>
            <w:vAlign w:val="center"/>
          </w:tcPr>
          <w:p>
            <w:pPr>
              <w:spacing w:line="240" w:lineRule="exact"/>
              <w:jc w:val="center"/>
              <w:rPr>
                <w:rFonts w:ascii="Arial"/>
                <w:sz w:val="20"/>
              </w:rPr>
            </w:pPr>
            <w:r>
              <w:rPr>
                <w:rFonts w:hint="eastAsia" w:ascii="宋体" w:hAnsi="宋体" w:eastAsia="宋体" w:cs="宋体"/>
                <w:spacing w:val="3"/>
              </w:rPr>
              <w:t>国家医保局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624" w:type="dxa"/>
            <w:gridSpan w:val="3"/>
            <w:vMerge w:val="restart"/>
            <w:tcBorders>
              <w:bottom w:val="nil"/>
            </w:tcBorders>
            <w:vAlign w:val="center"/>
          </w:tcPr>
          <w:p>
            <w:pPr>
              <w:pStyle w:val="8"/>
              <w:spacing w:before="55" w:line="220" w:lineRule="auto"/>
              <w:ind w:firstLine="344" w:firstLineChars="200"/>
              <w:jc w:val="both"/>
              <w:rPr>
                <w:sz w:val="17"/>
                <w:szCs w:val="17"/>
              </w:rPr>
            </w:pPr>
            <w:r>
              <w:rPr>
                <w:spacing w:val="1"/>
                <w:sz w:val="17"/>
                <w:szCs w:val="17"/>
              </w:rPr>
              <w:t>资金投入情况</w:t>
            </w:r>
          </w:p>
          <w:p>
            <w:pPr>
              <w:pStyle w:val="8"/>
              <w:spacing w:before="7" w:line="220" w:lineRule="auto"/>
              <w:ind w:left="545"/>
              <w:jc w:val="both"/>
              <w:rPr>
                <w:sz w:val="17"/>
                <w:szCs w:val="17"/>
              </w:rPr>
            </w:pPr>
            <w:r>
              <w:rPr>
                <w:spacing w:val="9"/>
                <w:sz w:val="17"/>
                <w:szCs w:val="17"/>
              </w:rPr>
              <w:t>(万元)</w:t>
            </w:r>
          </w:p>
        </w:tc>
        <w:tc>
          <w:tcPr>
            <w:tcW w:w="1818" w:type="dxa"/>
            <w:vAlign w:val="center"/>
          </w:tcPr>
          <w:p>
            <w:pPr>
              <w:jc w:val="center"/>
              <w:rPr>
                <w:rFonts w:ascii="Arial"/>
                <w:sz w:val="21"/>
              </w:rPr>
            </w:pPr>
          </w:p>
        </w:tc>
        <w:tc>
          <w:tcPr>
            <w:tcW w:w="939" w:type="dxa"/>
            <w:vAlign w:val="center"/>
          </w:tcPr>
          <w:p>
            <w:pPr>
              <w:pStyle w:val="8"/>
              <w:spacing w:before="147" w:line="219" w:lineRule="auto"/>
              <w:ind w:right="11"/>
              <w:jc w:val="center"/>
              <w:rPr>
                <w:sz w:val="17"/>
                <w:szCs w:val="17"/>
              </w:rPr>
            </w:pPr>
            <w:r>
              <w:rPr>
                <w:spacing w:val="-2"/>
                <w:sz w:val="17"/>
                <w:szCs w:val="17"/>
              </w:rPr>
              <w:t>年初预算数</w:t>
            </w:r>
          </w:p>
        </w:tc>
        <w:tc>
          <w:tcPr>
            <w:tcW w:w="1173" w:type="dxa"/>
            <w:vAlign w:val="center"/>
          </w:tcPr>
          <w:p>
            <w:pPr>
              <w:pStyle w:val="8"/>
              <w:spacing w:before="68" w:line="198" w:lineRule="auto"/>
              <w:ind w:left="44"/>
              <w:jc w:val="center"/>
              <w:rPr>
                <w:sz w:val="17"/>
                <w:szCs w:val="17"/>
              </w:rPr>
            </w:pPr>
            <w:r>
              <w:rPr>
                <w:spacing w:val="-2"/>
                <w:sz w:val="17"/>
                <w:szCs w:val="17"/>
              </w:rPr>
              <w:t>全年预算数</w:t>
            </w:r>
          </w:p>
          <w:p>
            <w:pPr>
              <w:pStyle w:val="8"/>
              <w:spacing w:line="215" w:lineRule="auto"/>
              <w:ind w:left="334"/>
              <w:jc w:val="center"/>
              <w:rPr>
                <w:sz w:val="17"/>
                <w:szCs w:val="17"/>
              </w:rPr>
            </w:pPr>
            <w:r>
              <w:rPr>
                <w:spacing w:val="-9"/>
                <w:sz w:val="17"/>
                <w:szCs w:val="17"/>
              </w:rPr>
              <w:t>(A)</w:t>
            </w:r>
          </w:p>
        </w:tc>
        <w:tc>
          <w:tcPr>
            <w:tcW w:w="1712" w:type="dxa"/>
            <w:vAlign w:val="center"/>
          </w:tcPr>
          <w:p>
            <w:pPr>
              <w:pStyle w:val="8"/>
              <w:spacing w:before="57" w:line="219" w:lineRule="auto"/>
              <w:jc w:val="center"/>
              <w:rPr>
                <w:sz w:val="17"/>
                <w:szCs w:val="17"/>
              </w:rPr>
            </w:pPr>
            <w:r>
              <w:rPr>
                <w:spacing w:val="-2"/>
                <w:sz w:val="17"/>
                <w:szCs w:val="17"/>
              </w:rPr>
              <w:t>全年执行数</w:t>
            </w:r>
          </w:p>
          <w:p>
            <w:pPr>
              <w:pStyle w:val="8"/>
              <w:spacing w:line="205" w:lineRule="auto"/>
              <w:ind w:left="364"/>
              <w:jc w:val="center"/>
              <w:rPr>
                <w:sz w:val="17"/>
                <w:szCs w:val="17"/>
              </w:rPr>
            </w:pPr>
            <w:r>
              <w:rPr>
                <w:spacing w:val="-9"/>
                <w:sz w:val="17"/>
                <w:szCs w:val="17"/>
              </w:rPr>
              <w:t>(B)</w:t>
            </w:r>
          </w:p>
        </w:tc>
        <w:tc>
          <w:tcPr>
            <w:tcW w:w="650" w:type="dxa"/>
            <w:vAlign w:val="center"/>
          </w:tcPr>
          <w:p>
            <w:pPr>
              <w:pStyle w:val="8"/>
              <w:spacing w:before="147" w:line="219" w:lineRule="auto"/>
              <w:ind w:left="115"/>
              <w:jc w:val="center"/>
              <w:rPr>
                <w:sz w:val="17"/>
                <w:szCs w:val="17"/>
              </w:rPr>
            </w:pPr>
            <w:r>
              <w:rPr>
                <w:spacing w:val="-3"/>
                <w:sz w:val="17"/>
                <w:szCs w:val="17"/>
              </w:rPr>
              <w:t>分值</w:t>
            </w:r>
          </w:p>
        </w:tc>
        <w:tc>
          <w:tcPr>
            <w:tcW w:w="738" w:type="dxa"/>
            <w:vAlign w:val="center"/>
          </w:tcPr>
          <w:p>
            <w:pPr>
              <w:pStyle w:val="8"/>
              <w:spacing w:before="37" w:line="219" w:lineRule="auto"/>
              <w:ind w:left="326"/>
              <w:jc w:val="center"/>
              <w:rPr>
                <w:sz w:val="17"/>
                <w:szCs w:val="17"/>
              </w:rPr>
            </w:pPr>
            <w:r>
              <w:rPr>
                <w:spacing w:val="-2"/>
                <w:sz w:val="17"/>
                <w:szCs w:val="17"/>
              </w:rPr>
              <w:t>执行率</w:t>
            </w:r>
          </w:p>
          <w:p>
            <w:pPr>
              <w:pStyle w:val="8"/>
              <w:spacing w:before="10" w:line="216" w:lineRule="auto"/>
              <w:ind w:left="176"/>
              <w:jc w:val="center"/>
              <w:rPr>
                <w:sz w:val="17"/>
                <w:szCs w:val="17"/>
              </w:rPr>
            </w:pPr>
            <w:r>
              <w:rPr>
                <w:spacing w:val="-4"/>
                <w:sz w:val="17"/>
                <w:szCs w:val="17"/>
              </w:rPr>
              <w:t>(B/A×100%)</w:t>
            </w:r>
          </w:p>
        </w:tc>
        <w:tc>
          <w:tcPr>
            <w:tcW w:w="955" w:type="dxa"/>
            <w:vAlign w:val="center"/>
          </w:tcPr>
          <w:p>
            <w:pPr>
              <w:pStyle w:val="8"/>
              <w:spacing w:before="147" w:line="219" w:lineRule="auto"/>
              <w:ind w:firstLine="498" w:firstLineChars="300"/>
              <w:jc w:val="both"/>
              <w:rPr>
                <w:sz w:val="17"/>
                <w:szCs w:val="17"/>
              </w:rPr>
            </w:pPr>
            <w:r>
              <w:rPr>
                <w:spacing w:val="-2"/>
                <w:sz w:val="17"/>
                <w:szCs w:val="17"/>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624" w:type="dxa"/>
            <w:gridSpan w:val="3"/>
            <w:vMerge w:val="continue"/>
            <w:tcBorders>
              <w:top w:val="nil"/>
              <w:bottom w:val="nil"/>
            </w:tcBorders>
            <w:vAlign w:val="top"/>
          </w:tcPr>
          <w:p>
            <w:pPr>
              <w:rPr>
                <w:rFonts w:ascii="Arial"/>
                <w:sz w:val="21"/>
              </w:rPr>
            </w:pPr>
          </w:p>
        </w:tc>
        <w:tc>
          <w:tcPr>
            <w:tcW w:w="1818" w:type="dxa"/>
            <w:vAlign w:val="center"/>
          </w:tcPr>
          <w:p>
            <w:pPr>
              <w:pStyle w:val="8"/>
              <w:spacing w:before="18" w:line="186" w:lineRule="auto"/>
              <w:ind w:left="20"/>
              <w:jc w:val="center"/>
              <w:rPr>
                <w:sz w:val="17"/>
                <w:szCs w:val="17"/>
              </w:rPr>
            </w:pPr>
            <w:r>
              <w:rPr>
                <w:spacing w:val="-1"/>
                <w:sz w:val="17"/>
                <w:szCs w:val="17"/>
              </w:rPr>
              <w:t>年度资金总额：</w:t>
            </w:r>
          </w:p>
        </w:tc>
        <w:tc>
          <w:tcPr>
            <w:tcW w:w="939" w:type="dxa"/>
            <w:vAlign w:val="center"/>
          </w:tcPr>
          <w:p>
            <w:pPr>
              <w:spacing w:line="190" w:lineRule="exact"/>
              <w:jc w:val="center"/>
              <w:rPr>
                <w:rFonts w:hint="default" w:ascii="Arial"/>
                <w:sz w:val="16"/>
                <w:lang w:val="en-US"/>
              </w:rPr>
            </w:pPr>
            <w:r>
              <w:rPr>
                <w:rFonts w:hint="default"/>
                <w:sz w:val="16"/>
                <w:lang w:val="en-US"/>
              </w:rPr>
              <w:t>10589</w:t>
            </w:r>
          </w:p>
        </w:tc>
        <w:tc>
          <w:tcPr>
            <w:tcW w:w="1173" w:type="dxa"/>
            <w:vAlign w:val="center"/>
          </w:tcPr>
          <w:p>
            <w:pPr>
              <w:spacing w:line="190" w:lineRule="exact"/>
              <w:jc w:val="center"/>
              <w:rPr>
                <w:rFonts w:hint="default" w:ascii="Arial" w:hAnsi="Arial" w:eastAsia="Arial" w:cs="Arial"/>
                <w:snapToGrid w:val="0"/>
                <w:color w:val="000000"/>
                <w:kern w:val="0"/>
                <w:sz w:val="16"/>
                <w:szCs w:val="21"/>
                <w:lang w:val="en-US" w:eastAsia="en-US" w:bidi="ar-SA"/>
              </w:rPr>
            </w:pPr>
            <w:r>
              <w:rPr>
                <w:rFonts w:hint="default"/>
                <w:sz w:val="16"/>
                <w:lang w:val="en-US"/>
              </w:rPr>
              <w:t>10589</w:t>
            </w:r>
          </w:p>
        </w:tc>
        <w:tc>
          <w:tcPr>
            <w:tcW w:w="1712" w:type="dxa"/>
            <w:vAlign w:val="center"/>
          </w:tcPr>
          <w:p>
            <w:pPr>
              <w:spacing w:line="190" w:lineRule="exact"/>
              <w:jc w:val="center"/>
              <w:rPr>
                <w:rFonts w:hint="default" w:ascii="Arial" w:hAnsi="Arial" w:eastAsia="Arial" w:cs="Arial"/>
                <w:snapToGrid w:val="0"/>
                <w:color w:val="000000"/>
                <w:kern w:val="0"/>
                <w:sz w:val="16"/>
                <w:szCs w:val="21"/>
                <w:lang w:val="en-US" w:eastAsia="en-US" w:bidi="ar-SA"/>
              </w:rPr>
            </w:pPr>
            <w:r>
              <w:rPr>
                <w:rFonts w:hint="default"/>
                <w:sz w:val="16"/>
                <w:lang w:val="en-US"/>
              </w:rPr>
              <w:t>10589</w:t>
            </w:r>
          </w:p>
        </w:tc>
        <w:tc>
          <w:tcPr>
            <w:tcW w:w="650" w:type="dxa"/>
            <w:vAlign w:val="center"/>
          </w:tcPr>
          <w:p>
            <w:pPr>
              <w:pStyle w:val="8"/>
              <w:spacing w:before="62" w:line="128" w:lineRule="exact"/>
              <w:ind w:left="206"/>
              <w:jc w:val="both"/>
              <w:rPr>
                <w:sz w:val="17"/>
                <w:szCs w:val="17"/>
              </w:rPr>
            </w:pPr>
            <w:r>
              <w:rPr>
                <w:spacing w:val="-5"/>
                <w:position w:val="-2"/>
                <w:sz w:val="17"/>
                <w:szCs w:val="17"/>
              </w:rPr>
              <w:t>10</w:t>
            </w:r>
          </w:p>
        </w:tc>
        <w:tc>
          <w:tcPr>
            <w:tcW w:w="738" w:type="dxa"/>
            <w:vAlign w:val="center"/>
          </w:tcPr>
          <w:p>
            <w:pPr>
              <w:spacing w:line="190" w:lineRule="exact"/>
              <w:jc w:val="center"/>
              <w:rPr>
                <w:rFonts w:hint="default" w:ascii="Arial"/>
                <w:sz w:val="16"/>
                <w:lang w:val="en-US"/>
              </w:rPr>
            </w:pPr>
            <w:r>
              <w:rPr>
                <w:rFonts w:hint="default"/>
                <w:sz w:val="16"/>
                <w:lang w:val="en-US"/>
              </w:rPr>
              <w:t>100%</w:t>
            </w:r>
          </w:p>
        </w:tc>
        <w:tc>
          <w:tcPr>
            <w:tcW w:w="955" w:type="dxa"/>
            <w:vAlign w:val="center"/>
          </w:tcPr>
          <w:p>
            <w:pPr>
              <w:spacing w:line="190" w:lineRule="exact"/>
              <w:jc w:val="center"/>
              <w:rPr>
                <w:rFonts w:hint="default" w:ascii="Arial"/>
                <w:sz w:val="16"/>
                <w:lang w:val="en-US"/>
              </w:rPr>
            </w:pPr>
            <w:r>
              <w:rPr>
                <w:rFonts w:hint="default"/>
                <w:sz w:val="16"/>
                <w:lang w:val="en-US"/>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624" w:type="dxa"/>
            <w:gridSpan w:val="3"/>
            <w:vMerge w:val="continue"/>
            <w:tcBorders>
              <w:top w:val="nil"/>
              <w:bottom w:val="nil"/>
            </w:tcBorders>
            <w:vAlign w:val="top"/>
          </w:tcPr>
          <w:p>
            <w:pPr>
              <w:rPr>
                <w:rFonts w:ascii="Arial"/>
                <w:sz w:val="21"/>
              </w:rPr>
            </w:pPr>
          </w:p>
        </w:tc>
        <w:tc>
          <w:tcPr>
            <w:tcW w:w="1818" w:type="dxa"/>
            <w:vAlign w:val="center"/>
          </w:tcPr>
          <w:p>
            <w:pPr>
              <w:pStyle w:val="8"/>
              <w:spacing w:before="19" w:line="185" w:lineRule="auto"/>
              <w:ind w:left="20"/>
              <w:jc w:val="center"/>
              <w:rPr>
                <w:sz w:val="17"/>
                <w:szCs w:val="17"/>
              </w:rPr>
            </w:pPr>
            <w:r>
              <w:rPr>
                <w:spacing w:val="-1"/>
                <w:sz w:val="17"/>
                <w:szCs w:val="17"/>
              </w:rPr>
              <w:t>其中：中央财政资金</w:t>
            </w:r>
          </w:p>
        </w:tc>
        <w:tc>
          <w:tcPr>
            <w:tcW w:w="939" w:type="dxa"/>
            <w:vAlign w:val="center"/>
          </w:tcPr>
          <w:p>
            <w:pPr>
              <w:spacing w:line="190" w:lineRule="exact"/>
              <w:jc w:val="center"/>
              <w:rPr>
                <w:rFonts w:hint="default" w:ascii="Arial"/>
                <w:sz w:val="16"/>
                <w:lang w:val="en-US"/>
              </w:rPr>
            </w:pPr>
            <w:r>
              <w:rPr>
                <w:rFonts w:hint="default"/>
                <w:sz w:val="16"/>
                <w:lang w:val="en-US"/>
              </w:rPr>
              <w:t>9431</w:t>
            </w:r>
          </w:p>
        </w:tc>
        <w:tc>
          <w:tcPr>
            <w:tcW w:w="1173" w:type="dxa"/>
            <w:vAlign w:val="center"/>
          </w:tcPr>
          <w:p>
            <w:pPr>
              <w:spacing w:line="190" w:lineRule="exact"/>
              <w:jc w:val="center"/>
              <w:rPr>
                <w:rFonts w:hint="default" w:ascii="Arial" w:hAnsi="Arial" w:eastAsia="Arial" w:cs="Arial"/>
                <w:snapToGrid w:val="0"/>
                <w:color w:val="000000"/>
                <w:kern w:val="0"/>
                <w:sz w:val="16"/>
                <w:szCs w:val="21"/>
                <w:lang w:val="en-US" w:eastAsia="en-US" w:bidi="ar-SA"/>
              </w:rPr>
            </w:pPr>
            <w:r>
              <w:rPr>
                <w:rFonts w:hint="default"/>
                <w:sz w:val="16"/>
                <w:lang w:val="en-US"/>
              </w:rPr>
              <w:t>9431</w:t>
            </w:r>
          </w:p>
        </w:tc>
        <w:tc>
          <w:tcPr>
            <w:tcW w:w="1712" w:type="dxa"/>
            <w:vAlign w:val="center"/>
          </w:tcPr>
          <w:p>
            <w:pPr>
              <w:spacing w:line="190" w:lineRule="exact"/>
              <w:jc w:val="center"/>
              <w:rPr>
                <w:rFonts w:hint="default" w:ascii="Arial" w:hAnsi="Arial" w:eastAsia="Arial" w:cs="Arial"/>
                <w:snapToGrid w:val="0"/>
                <w:color w:val="000000"/>
                <w:kern w:val="0"/>
                <w:sz w:val="16"/>
                <w:szCs w:val="21"/>
                <w:lang w:val="en-US" w:eastAsia="en-US" w:bidi="ar-SA"/>
              </w:rPr>
            </w:pPr>
            <w:r>
              <w:rPr>
                <w:rFonts w:hint="default"/>
                <w:sz w:val="16"/>
                <w:lang w:val="en-US"/>
              </w:rPr>
              <w:t>9431</w:t>
            </w:r>
          </w:p>
        </w:tc>
        <w:tc>
          <w:tcPr>
            <w:tcW w:w="650" w:type="dxa"/>
            <w:vAlign w:val="center"/>
          </w:tcPr>
          <w:p>
            <w:pPr>
              <w:spacing w:line="190" w:lineRule="exact"/>
              <w:jc w:val="center"/>
              <w:rPr>
                <w:rFonts w:ascii="Arial"/>
                <w:sz w:val="16"/>
              </w:rPr>
            </w:pPr>
          </w:p>
        </w:tc>
        <w:tc>
          <w:tcPr>
            <w:tcW w:w="738" w:type="dxa"/>
            <w:vAlign w:val="center"/>
          </w:tcPr>
          <w:p>
            <w:pPr>
              <w:spacing w:line="190" w:lineRule="exact"/>
              <w:jc w:val="center"/>
              <w:rPr>
                <w:rFonts w:ascii="Arial"/>
                <w:sz w:val="16"/>
              </w:rPr>
            </w:pPr>
            <w:r>
              <w:rPr>
                <w:rFonts w:hint="default"/>
                <w:sz w:val="16"/>
                <w:lang w:val="en-US"/>
              </w:rPr>
              <w:t>00%</w:t>
            </w:r>
          </w:p>
        </w:tc>
        <w:tc>
          <w:tcPr>
            <w:tcW w:w="955" w:type="dxa"/>
            <w:vAlign w:val="center"/>
          </w:tcPr>
          <w:p>
            <w:pPr>
              <w:spacing w:line="190" w:lineRule="exact"/>
              <w:jc w:val="center"/>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624" w:type="dxa"/>
            <w:gridSpan w:val="3"/>
            <w:vMerge w:val="continue"/>
            <w:tcBorders>
              <w:top w:val="nil"/>
              <w:bottom w:val="nil"/>
            </w:tcBorders>
            <w:vAlign w:val="top"/>
          </w:tcPr>
          <w:p>
            <w:pPr>
              <w:rPr>
                <w:rFonts w:ascii="Arial"/>
                <w:sz w:val="21"/>
              </w:rPr>
            </w:pPr>
          </w:p>
        </w:tc>
        <w:tc>
          <w:tcPr>
            <w:tcW w:w="1818" w:type="dxa"/>
            <w:vAlign w:val="center"/>
          </w:tcPr>
          <w:p>
            <w:pPr>
              <w:pStyle w:val="8"/>
              <w:spacing w:before="20" w:line="195" w:lineRule="auto"/>
              <w:ind w:left="500"/>
              <w:jc w:val="center"/>
              <w:rPr>
                <w:sz w:val="17"/>
                <w:szCs w:val="17"/>
              </w:rPr>
            </w:pPr>
            <w:r>
              <w:rPr>
                <w:spacing w:val="-1"/>
                <w:sz w:val="17"/>
                <w:szCs w:val="17"/>
              </w:rPr>
              <w:t>地方财政资金</w:t>
            </w:r>
          </w:p>
        </w:tc>
        <w:tc>
          <w:tcPr>
            <w:tcW w:w="939" w:type="dxa"/>
            <w:vAlign w:val="center"/>
          </w:tcPr>
          <w:p>
            <w:pPr>
              <w:spacing w:line="200" w:lineRule="exact"/>
              <w:jc w:val="center"/>
              <w:rPr>
                <w:rFonts w:hint="default" w:ascii="Arial"/>
                <w:sz w:val="17"/>
                <w:lang w:val="en-US"/>
              </w:rPr>
            </w:pPr>
            <w:r>
              <w:rPr>
                <w:rFonts w:hint="default"/>
                <w:sz w:val="17"/>
                <w:lang w:val="en-US"/>
              </w:rPr>
              <w:t>1158</w:t>
            </w:r>
          </w:p>
        </w:tc>
        <w:tc>
          <w:tcPr>
            <w:tcW w:w="1173" w:type="dxa"/>
            <w:vAlign w:val="center"/>
          </w:tcPr>
          <w:p>
            <w:pPr>
              <w:spacing w:line="200" w:lineRule="exact"/>
              <w:jc w:val="center"/>
              <w:rPr>
                <w:rFonts w:hint="default" w:ascii="Arial" w:hAnsi="Arial" w:eastAsia="Arial" w:cs="Arial"/>
                <w:snapToGrid w:val="0"/>
                <w:color w:val="000000"/>
                <w:kern w:val="0"/>
                <w:sz w:val="17"/>
                <w:szCs w:val="21"/>
                <w:lang w:val="en-US" w:eastAsia="en-US" w:bidi="ar-SA"/>
              </w:rPr>
            </w:pPr>
            <w:r>
              <w:rPr>
                <w:rFonts w:hint="default"/>
                <w:sz w:val="17"/>
                <w:lang w:val="en-US"/>
              </w:rPr>
              <w:t>1158</w:t>
            </w:r>
          </w:p>
        </w:tc>
        <w:tc>
          <w:tcPr>
            <w:tcW w:w="1712" w:type="dxa"/>
            <w:vAlign w:val="center"/>
          </w:tcPr>
          <w:p>
            <w:pPr>
              <w:spacing w:line="200" w:lineRule="exact"/>
              <w:jc w:val="center"/>
              <w:rPr>
                <w:rFonts w:hint="default" w:ascii="Arial" w:hAnsi="Arial" w:eastAsia="Arial" w:cs="Arial"/>
                <w:snapToGrid w:val="0"/>
                <w:color w:val="000000"/>
                <w:kern w:val="0"/>
                <w:sz w:val="17"/>
                <w:szCs w:val="21"/>
                <w:lang w:val="en-US" w:eastAsia="en-US" w:bidi="ar-SA"/>
              </w:rPr>
            </w:pPr>
            <w:r>
              <w:rPr>
                <w:rFonts w:hint="default"/>
                <w:sz w:val="17"/>
                <w:lang w:val="en-US"/>
              </w:rPr>
              <w:t>1158</w:t>
            </w:r>
          </w:p>
        </w:tc>
        <w:tc>
          <w:tcPr>
            <w:tcW w:w="650" w:type="dxa"/>
            <w:vAlign w:val="center"/>
          </w:tcPr>
          <w:p>
            <w:pPr>
              <w:spacing w:line="200" w:lineRule="exact"/>
              <w:jc w:val="center"/>
              <w:rPr>
                <w:rFonts w:ascii="Arial"/>
                <w:sz w:val="17"/>
              </w:rPr>
            </w:pPr>
          </w:p>
        </w:tc>
        <w:tc>
          <w:tcPr>
            <w:tcW w:w="738" w:type="dxa"/>
            <w:vAlign w:val="center"/>
          </w:tcPr>
          <w:p>
            <w:pPr>
              <w:spacing w:line="200" w:lineRule="exact"/>
              <w:jc w:val="center"/>
              <w:rPr>
                <w:rFonts w:ascii="Arial"/>
                <w:sz w:val="17"/>
              </w:rPr>
            </w:pPr>
            <w:r>
              <w:rPr>
                <w:rFonts w:hint="default"/>
                <w:sz w:val="16"/>
                <w:lang w:val="en-US"/>
              </w:rPr>
              <w:t>00%</w:t>
            </w:r>
          </w:p>
        </w:tc>
        <w:tc>
          <w:tcPr>
            <w:tcW w:w="955" w:type="dxa"/>
            <w:vAlign w:val="center"/>
          </w:tcPr>
          <w:p>
            <w:pPr>
              <w:spacing w:line="200" w:lineRule="exact"/>
              <w:jc w:val="center"/>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624" w:type="dxa"/>
            <w:gridSpan w:val="3"/>
            <w:vMerge w:val="continue"/>
            <w:tcBorders>
              <w:top w:val="nil"/>
            </w:tcBorders>
            <w:vAlign w:val="top"/>
          </w:tcPr>
          <w:p>
            <w:pPr>
              <w:rPr>
                <w:rFonts w:ascii="Arial"/>
                <w:sz w:val="21"/>
              </w:rPr>
            </w:pPr>
          </w:p>
        </w:tc>
        <w:tc>
          <w:tcPr>
            <w:tcW w:w="1818" w:type="dxa"/>
            <w:vAlign w:val="center"/>
          </w:tcPr>
          <w:p>
            <w:pPr>
              <w:pStyle w:val="8"/>
              <w:spacing w:before="19" w:line="185" w:lineRule="auto"/>
              <w:ind w:left="510"/>
              <w:jc w:val="center"/>
              <w:rPr>
                <w:sz w:val="17"/>
                <w:szCs w:val="17"/>
              </w:rPr>
            </w:pPr>
            <w:r>
              <w:rPr>
                <w:spacing w:val="-2"/>
                <w:sz w:val="17"/>
                <w:szCs w:val="17"/>
              </w:rPr>
              <w:t>其他资金</w:t>
            </w:r>
          </w:p>
        </w:tc>
        <w:tc>
          <w:tcPr>
            <w:tcW w:w="939" w:type="dxa"/>
            <w:vAlign w:val="center"/>
          </w:tcPr>
          <w:p>
            <w:pPr>
              <w:spacing w:line="190" w:lineRule="exact"/>
              <w:jc w:val="center"/>
              <w:rPr>
                <w:rFonts w:ascii="Arial"/>
                <w:sz w:val="16"/>
              </w:rPr>
            </w:pPr>
          </w:p>
        </w:tc>
        <w:tc>
          <w:tcPr>
            <w:tcW w:w="1173" w:type="dxa"/>
            <w:vAlign w:val="center"/>
          </w:tcPr>
          <w:p>
            <w:pPr>
              <w:spacing w:line="190" w:lineRule="exact"/>
              <w:jc w:val="center"/>
              <w:rPr>
                <w:rFonts w:ascii="Arial"/>
                <w:sz w:val="16"/>
              </w:rPr>
            </w:pPr>
          </w:p>
        </w:tc>
        <w:tc>
          <w:tcPr>
            <w:tcW w:w="1712" w:type="dxa"/>
            <w:vAlign w:val="center"/>
          </w:tcPr>
          <w:p>
            <w:pPr>
              <w:spacing w:line="190" w:lineRule="exact"/>
              <w:jc w:val="center"/>
              <w:rPr>
                <w:rFonts w:ascii="Arial"/>
                <w:sz w:val="16"/>
              </w:rPr>
            </w:pPr>
          </w:p>
        </w:tc>
        <w:tc>
          <w:tcPr>
            <w:tcW w:w="650" w:type="dxa"/>
            <w:vAlign w:val="center"/>
          </w:tcPr>
          <w:p>
            <w:pPr>
              <w:spacing w:line="190" w:lineRule="exact"/>
              <w:jc w:val="center"/>
              <w:rPr>
                <w:rFonts w:ascii="Arial"/>
                <w:sz w:val="16"/>
              </w:rPr>
            </w:pPr>
          </w:p>
        </w:tc>
        <w:tc>
          <w:tcPr>
            <w:tcW w:w="738" w:type="dxa"/>
            <w:vAlign w:val="center"/>
          </w:tcPr>
          <w:p>
            <w:pPr>
              <w:spacing w:line="190" w:lineRule="exact"/>
              <w:jc w:val="center"/>
              <w:rPr>
                <w:rFonts w:ascii="Arial"/>
                <w:sz w:val="16"/>
              </w:rPr>
            </w:pPr>
          </w:p>
        </w:tc>
        <w:tc>
          <w:tcPr>
            <w:tcW w:w="955" w:type="dxa"/>
            <w:vAlign w:val="center"/>
          </w:tcPr>
          <w:p>
            <w:pPr>
              <w:spacing w:line="190" w:lineRule="exact"/>
              <w:jc w:val="center"/>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624" w:type="dxa"/>
            <w:gridSpan w:val="3"/>
            <w:vMerge w:val="restart"/>
            <w:tcBorders>
              <w:bottom w:val="nil"/>
            </w:tcBorders>
            <w:vAlign w:val="top"/>
          </w:tcPr>
          <w:p>
            <w:pPr>
              <w:spacing w:line="299" w:lineRule="auto"/>
              <w:rPr>
                <w:rFonts w:ascii="Arial"/>
                <w:sz w:val="21"/>
              </w:rPr>
            </w:pPr>
          </w:p>
          <w:p>
            <w:pPr>
              <w:spacing w:line="299" w:lineRule="auto"/>
              <w:rPr>
                <w:rFonts w:ascii="Arial"/>
                <w:sz w:val="21"/>
              </w:rPr>
            </w:pPr>
          </w:p>
          <w:p>
            <w:pPr>
              <w:spacing w:line="300" w:lineRule="auto"/>
              <w:rPr>
                <w:rFonts w:ascii="Arial"/>
                <w:sz w:val="21"/>
              </w:rPr>
            </w:pPr>
          </w:p>
          <w:p>
            <w:pPr>
              <w:pStyle w:val="8"/>
              <w:spacing w:before="55" w:line="219" w:lineRule="auto"/>
              <w:ind w:left="294"/>
              <w:rPr>
                <w:sz w:val="17"/>
                <w:szCs w:val="17"/>
              </w:rPr>
            </w:pPr>
            <w:r>
              <w:rPr>
                <w:spacing w:val="1"/>
                <w:sz w:val="17"/>
                <w:szCs w:val="17"/>
              </w:rPr>
              <w:t>资金管理情况</w:t>
            </w:r>
          </w:p>
        </w:tc>
        <w:tc>
          <w:tcPr>
            <w:tcW w:w="1818" w:type="dxa"/>
            <w:vAlign w:val="top"/>
          </w:tcPr>
          <w:p>
            <w:pPr>
              <w:rPr>
                <w:rFonts w:ascii="Arial"/>
                <w:sz w:val="21"/>
              </w:rPr>
            </w:pPr>
          </w:p>
        </w:tc>
        <w:tc>
          <w:tcPr>
            <w:tcW w:w="3824" w:type="dxa"/>
            <w:gridSpan w:val="3"/>
            <w:vAlign w:val="center"/>
          </w:tcPr>
          <w:p>
            <w:pPr>
              <w:pStyle w:val="8"/>
              <w:spacing w:before="108" w:line="219" w:lineRule="auto"/>
              <w:ind w:left="1112" w:firstLine="356" w:firstLineChars="200"/>
              <w:jc w:val="both"/>
              <w:rPr>
                <w:sz w:val="17"/>
                <w:szCs w:val="17"/>
              </w:rPr>
            </w:pPr>
            <w:r>
              <w:rPr>
                <w:spacing w:val="4"/>
                <w:sz w:val="17"/>
                <w:szCs w:val="17"/>
              </w:rPr>
              <w:t>情况说明</w:t>
            </w:r>
          </w:p>
        </w:tc>
        <w:tc>
          <w:tcPr>
            <w:tcW w:w="650" w:type="dxa"/>
            <w:vAlign w:val="center"/>
          </w:tcPr>
          <w:p>
            <w:pPr>
              <w:pStyle w:val="8"/>
              <w:spacing w:before="9" w:line="198" w:lineRule="auto"/>
              <w:ind w:left="115"/>
              <w:jc w:val="center"/>
              <w:rPr>
                <w:sz w:val="17"/>
                <w:szCs w:val="17"/>
              </w:rPr>
            </w:pPr>
            <w:r>
              <w:rPr>
                <w:spacing w:val="-3"/>
                <w:sz w:val="17"/>
                <w:szCs w:val="17"/>
              </w:rPr>
              <w:t>分值</w:t>
            </w:r>
          </w:p>
          <w:p>
            <w:pPr>
              <w:pStyle w:val="8"/>
              <w:spacing w:line="203" w:lineRule="auto"/>
              <w:ind w:left="145"/>
              <w:jc w:val="center"/>
              <w:rPr>
                <w:sz w:val="17"/>
                <w:szCs w:val="17"/>
              </w:rPr>
            </w:pPr>
            <w:r>
              <w:rPr>
                <w:spacing w:val="-7"/>
                <w:sz w:val="17"/>
                <w:szCs w:val="17"/>
              </w:rPr>
              <w:t>(40)</w:t>
            </w:r>
          </w:p>
        </w:tc>
        <w:tc>
          <w:tcPr>
            <w:tcW w:w="738" w:type="dxa"/>
            <w:vAlign w:val="center"/>
          </w:tcPr>
          <w:p>
            <w:pPr>
              <w:pStyle w:val="8"/>
              <w:spacing w:before="108" w:line="219" w:lineRule="auto"/>
              <w:ind w:left="56"/>
              <w:jc w:val="center"/>
              <w:rPr>
                <w:sz w:val="17"/>
                <w:szCs w:val="17"/>
              </w:rPr>
            </w:pPr>
            <w:r>
              <w:rPr>
                <w:spacing w:val="-2"/>
                <w:sz w:val="17"/>
                <w:szCs w:val="17"/>
              </w:rPr>
              <w:t>得分</w:t>
            </w:r>
          </w:p>
        </w:tc>
        <w:tc>
          <w:tcPr>
            <w:tcW w:w="955" w:type="dxa"/>
            <w:vAlign w:val="center"/>
          </w:tcPr>
          <w:p>
            <w:pPr>
              <w:pStyle w:val="8"/>
              <w:spacing w:before="108" w:line="219" w:lineRule="auto"/>
              <w:jc w:val="both"/>
              <w:rPr>
                <w:sz w:val="17"/>
                <w:szCs w:val="17"/>
              </w:rPr>
            </w:pPr>
            <w:r>
              <w:rPr>
                <w:spacing w:val="-1"/>
                <w:sz w:val="17"/>
                <w:szCs w:val="17"/>
              </w:rPr>
              <w:t>存在问题和改进措施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1624" w:type="dxa"/>
            <w:gridSpan w:val="3"/>
            <w:vMerge w:val="continue"/>
            <w:tcBorders>
              <w:top w:val="nil"/>
              <w:bottom w:val="nil"/>
            </w:tcBorders>
            <w:vAlign w:val="top"/>
          </w:tcPr>
          <w:p>
            <w:pPr>
              <w:rPr>
                <w:rFonts w:ascii="Arial"/>
                <w:sz w:val="21"/>
              </w:rPr>
            </w:pPr>
          </w:p>
        </w:tc>
        <w:tc>
          <w:tcPr>
            <w:tcW w:w="1818" w:type="dxa"/>
            <w:vAlign w:val="center"/>
          </w:tcPr>
          <w:p>
            <w:pPr>
              <w:pStyle w:val="8"/>
              <w:spacing w:before="19" w:line="196" w:lineRule="auto"/>
              <w:ind w:left="20"/>
              <w:jc w:val="center"/>
              <w:rPr>
                <w:sz w:val="17"/>
                <w:szCs w:val="17"/>
              </w:rPr>
            </w:pPr>
            <w:r>
              <w:rPr>
                <w:spacing w:val="-2"/>
                <w:sz w:val="17"/>
                <w:szCs w:val="17"/>
              </w:rPr>
              <w:t>分配科学性</w:t>
            </w:r>
          </w:p>
        </w:tc>
        <w:tc>
          <w:tcPr>
            <w:tcW w:w="3824" w:type="dxa"/>
            <w:gridSpan w:val="3"/>
            <w:vAlign w:val="center"/>
          </w:tcPr>
          <w:p>
            <w:pPr>
              <w:spacing w:line="200" w:lineRule="exact"/>
              <w:jc w:val="center"/>
              <w:rPr>
                <w:rFonts w:ascii="Arial"/>
                <w:sz w:val="17"/>
              </w:rPr>
            </w:pPr>
            <w:r>
              <w:rPr>
                <w:rFonts w:hint="eastAsia"/>
                <w:sz w:val="21"/>
                <w:lang w:val="en-US" w:eastAsia="zh-CN"/>
              </w:rPr>
              <w:t>按照补助标准，分四级财政权事补助分配，中央承担</w:t>
            </w:r>
            <w:r>
              <w:rPr>
                <w:rFonts w:hint="default"/>
                <w:sz w:val="21"/>
                <w:lang w:val="en-US" w:eastAsia="zh-CN"/>
              </w:rPr>
              <w:t>80%</w:t>
            </w:r>
            <w:r>
              <w:rPr>
                <w:rFonts w:hint="eastAsia"/>
                <w:sz w:val="21"/>
                <w:lang w:val="en-US" w:eastAsia="zh-CN"/>
              </w:rPr>
              <w:t>，剩余由省级和盟市各承担</w:t>
            </w:r>
            <w:r>
              <w:rPr>
                <w:rFonts w:hint="default"/>
                <w:sz w:val="21"/>
                <w:lang w:val="en-US" w:eastAsia="zh-CN"/>
              </w:rPr>
              <w:t>50%</w:t>
            </w:r>
            <w:r>
              <w:rPr>
                <w:rFonts w:hint="eastAsia"/>
                <w:sz w:val="21"/>
                <w:lang w:val="en-US" w:eastAsia="zh-CN"/>
              </w:rPr>
              <w:t>，按规定履行程序报批分配。</w:t>
            </w:r>
          </w:p>
        </w:tc>
        <w:tc>
          <w:tcPr>
            <w:tcW w:w="650" w:type="dxa"/>
            <w:vAlign w:val="center"/>
          </w:tcPr>
          <w:p>
            <w:pPr>
              <w:pStyle w:val="8"/>
              <w:spacing w:before="65" w:line="135" w:lineRule="exact"/>
              <w:ind w:left="246"/>
              <w:jc w:val="center"/>
              <w:rPr>
                <w:sz w:val="17"/>
                <w:szCs w:val="17"/>
              </w:rPr>
            </w:pPr>
            <w:r>
              <w:rPr>
                <w:position w:val="-2"/>
                <w:sz w:val="17"/>
                <w:szCs w:val="17"/>
              </w:rPr>
              <w:t>5</w:t>
            </w:r>
          </w:p>
        </w:tc>
        <w:tc>
          <w:tcPr>
            <w:tcW w:w="738" w:type="dxa"/>
            <w:vAlign w:val="center"/>
          </w:tcPr>
          <w:p>
            <w:pPr>
              <w:spacing w:line="200" w:lineRule="exact"/>
              <w:jc w:val="center"/>
              <w:rPr>
                <w:rFonts w:hint="default" w:ascii="Arial"/>
                <w:sz w:val="17"/>
                <w:lang w:val="en-US"/>
              </w:rPr>
            </w:pPr>
            <w:r>
              <w:rPr>
                <w:rFonts w:hint="default"/>
                <w:sz w:val="17"/>
                <w:lang w:val="en-US"/>
              </w:rPr>
              <w:t>5</w:t>
            </w:r>
          </w:p>
        </w:tc>
        <w:tc>
          <w:tcPr>
            <w:tcW w:w="955"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1624" w:type="dxa"/>
            <w:gridSpan w:val="3"/>
            <w:vMerge w:val="continue"/>
            <w:tcBorders>
              <w:top w:val="nil"/>
              <w:bottom w:val="nil"/>
            </w:tcBorders>
            <w:vAlign w:val="top"/>
          </w:tcPr>
          <w:p>
            <w:pPr>
              <w:rPr>
                <w:rFonts w:ascii="Arial"/>
                <w:sz w:val="21"/>
              </w:rPr>
            </w:pPr>
          </w:p>
        </w:tc>
        <w:tc>
          <w:tcPr>
            <w:tcW w:w="1818" w:type="dxa"/>
            <w:vAlign w:val="center"/>
          </w:tcPr>
          <w:p>
            <w:pPr>
              <w:pStyle w:val="8"/>
              <w:spacing w:before="1" w:line="194" w:lineRule="auto"/>
              <w:ind w:left="20"/>
              <w:jc w:val="center"/>
              <w:rPr>
                <w:sz w:val="17"/>
                <w:szCs w:val="17"/>
              </w:rPr>
            </w:pPr>
            <w:r>
              <w:rPr>
                <w:spacing w:val="-2"/>
                <w:sz w:val="17"/>
                <w:szCs w:val="17"/>
              </w:rPr>
              <w:t>下达及时性</w:t>
            </w:r>
          </w:p>
        </w:tc>
        <w:tc>
          <w:tcPr>
            <w:tcW w:w="3824" w:type="dxa"/>
            <w:gridSpan w:val="3"/>
            <w:vAlign w:val="top"/>
          </w:tcPr>
          <w:p>
            <w:pPr>
              <w:ind w:firstLine="420" w:firstLineChars="200"/>
              <w:jc w:val="both"/>
              <w:rPr>
                <w:rFonts w:hint="eastAsia" w:ascii="Arial" w:hAnsi="Arial" w:eastAsia="Arial" w:cs="Arial"/>
                <w:snapToGrid w:val="0"/>
                <w:color w:val="000000"/>
                <w:kern w:val="0"/>
                <w:sz w:val="21"/>
                <w:szCs w:val="21"/>
                <w:lang w:val="en-US" w:eastAsia="en-US" w:bidi="ar-SA"/>
              </w:rPr>
            </w:pPr>
            <w:r>
              <w:rPr>
                <w:rFonts w:hint="eastAsia" w:ascii="Arial"/>
                <w:sz w:val="21"/>
              </w:rPr>
              <w:t>项目资金使用符合国家财经法规和财务管理制度以及有关专项资金管理办法的规定，资金拨付有完整的审批程序和手续</w:t>
            </w:r>
          </w:p>
        </w:tc>
        <w:tc>
          <w:tcPr>
            <w:tcW w:w="650" w:type="dxa"/>
            <w:vAlign w:val="center"/>
          </w:tcPr>
          <w:p>
            <w:pPr>
              <w:pStyle w:val="8"/>
              <w:spacing w:before="45" w:line="135" w:lineRule="exact"/>
              <w:ind w:left="246"/>
              <w:jc w:val="both"/>
              <w:rPr>
                <w:sz w:val="17"/>
                <w:szCs w:val="17"/>
              </w:rPr>
            </w:pPr>
            <w:r>
              <w:rPr>
                <w:position w:val="-2"/>
                <w:sz w:val="17"/>
                <w:szCs w:val="17"/>
              </w:rPr>
              <w:t>5</w:t>
            </w:r>
          </w:p>
        </w:tc>
        <w:tc>
          <w:tcPr>
            <w:tcW w:w="738" w:type="dxa"/>
            <w:vAlign w:val="center"/>
          </w:tcPr>
          <w:p>
            <w:pPr>
              <w:spacing w:line="180" w:lineRule="exact"/>
              <w:jc w:val="center"/>
              <w:rPr>
                <w:rFonts w:hint="default" w:ascii="Arial"/>
                <w:sz w:val="15"/>
                <w:lang w:val="en-US"/>
              </w:rPr>
            </w:pPr>
            <w:r>
              <w:rPr>
                <w:rFonts w:hint="default"/>
                <w:sz w:val="15"/>
                <w:lang w:val="en-US"/>
              </w:rPr>
              <w:t>5</w:t>
            </w:r>
          </w:p>
        </w:tc>
        <w:tc>
          <w:tcPr>
            <w:tcW w:w="955" w:type="dxa"/>
            <w:vAlign w:val="top"/>
          </w:tcPr>
          <w:p>
            <w:pPr>
              <w:spacing w:line="180" w:lineRule="exact"/>
              <w:rPr>
                <w:rFonts w:ascii="Arial"/>
                <w:sz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1624" w:type="dxa"/>
            <w:gridSpan w:val="3"/>
            <w:vMerge w:val="continue"/>
            <w:tcBorders>
              <w:top w:val="nil"/>
              <w:bottom w:val="nil"/>
            </w:tcBorders>
            <w:vAlign w:val="top"/>
          </w:tcPr>
          <w:p>
            <w:pPr>
              <w:rPr>
                <w:rFonts w:ascii="Arial"/>
                <w:sz w:val="21"/>
              </w:rPr>
            </w:pPr>
          </w:p>
        </w:tc>
        <w:tc>
          <w:tcPr>
            <w:tcW w:w="1818" w:type="dxa"/>
            <w:vAlign w:val="center"/>
          </w:tcPr>
          <w:p>
            <w:pPr>
              <w:pStyle w:val="8"/>
              <w:spacing w:before="19" w:line="185" w:lineRule="auto"/>
              <w:ind w:left="20"/>
              <w:jc w:val="center"/>
              <w:rPr>
                <w:sz w:val="17"/>
                <w:szCs w:val="17"/>
              </w:rPr>
            </w:pPr>
            <w:r>
              <w:rPr>
                <w:spacing w:val="-2"/>
                <w:sz w:val="17"/>
                <w:szCs w:val="17"/>
              </w:rPr>
              <w:t>拨付合规性</w:t>
            </w:r>
          </w:p>
        </w:tc>
        <w:tc>
          <w:tcPr>
            <w:tcW w:w="3824" w:type="dxa"/>
            <w:gridSpan w:val="3"/>
            <w:vAlign w:val="top"/>
          </w:tcPr>
          <w:p>
            <w:pPr>
              <w:jc w:val="center"/>
              <w:rPr>
                <w:rFonts w:hint="eastAsia" w:ascii="Arial" w:hAnsi="Arial" w:eastAsia="Arial" w:cs="Arial"/>
                <w:snapToGrid w:val="0"/>
                <w:color w:val="000000"/>
                <w:kern w:val="0"/>
                <w:sz w:val="21"/>
                <w:szCs w:val="21"/>
                <w:lang w:val="en-US" w:eastAsia="en-US" w:bidi="ar-SA"/>
              </w:rPr>
            </w:pPr>
            <w:r>
              <w:rPr>
                <w:rFonts w:hint="default"/>
                <w:sz w:val="21"/>
                <w:lang w:val="en-US"/>
              </w:rPr>
              <w:t xml:space="preserve">  </w:t>
            </w:r>
            <w:r>
              <w:rPr>
                <w:rFonts w:hint="eastAsia" w:ascii="Arial"/>
                <w:sz w:val="21"/>
              </w:rPr>
              <w:t>项目资金严格按照预算批复规定的用途支出，不存在截留、挤占、挪用、虚列支出等情况</w:t>
            </w:r>
          </w:p>
        </w:tc>
        <w:tc>
          <w:tcPr>
            <w:tcW w:w="650" w:type="dxa"/>
            <w:vAlign w:val="center"/>
          </w:tcPr>
          <w:p>
            <w:pPr>
              <w:spacing w:line="190" w:lineRule="exact"/>
              <w:jc w:val="center"/>
              <w:rPr>
                <w:rFonts w:hint="default" w:ascii="Arial"/>
                <w:sz w:val="16"/>
                <w:lang w:val="en-US"/>
              </w:rPr>
            </w:pPr>
            <w:r>
              <w:rPr>
                <w:rFonts w:hint="default"/>
                <w:sz w:val="16"/>
                <w:lang w:val="en-US"/>
              </w:rPr>
              <w:t>5</w:t>
            </w:r>
          </w:p>
        </w:tc>
        <w:tc>
          <w:tcPr>
            <w:tcW w:w="738" w:type="dxa"/>
            <w:vAlign w:val="center"/>
          </w:tcPr>
          <w:p>
            <w:pPr>
              <w:spacing w:line="190" w:lineRule="exact"/>
              <w:jc w:val="center"/>
              <w:rPr>
                <w:rFonts w:hint="default" w:ascii="Arial"/>
                <w:sz w:val="16"/>
                <w:lang w:val="en-US"/>
              </w:rPr>
            </w:pPr>
            <w:r>
              <w:rPr>
                <w:rFonts w:hint="default"/>
                <w:sz w:val="16"/>
                <w:lang w:val="en-US"/>
              </w:rPr>
              <w:t>5</w:t>
            </w:r>
          </w:p>
        </w:tc>
        <w:tc>
          <w:tcPr>
            <w:tcW w:w="955" w:type="dxa"/>
            <w:vAlign w:val="top"/>
          </w:tcPr>
          <w:p>
            <w:pPr>
              <w:spacing w:line="190"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624" w:type="dxa"/>
            <w:gridSpan w:val="3"/>
            <w:vMerge w:val="continue"/>
            <w:tcBorders>
              <w:top w:val="nil"/>
              <w:bottom w:val="nil"/>
            </w:tcBorders>
            <w:vAlign w:val="top"/>
          </w:tcPr>
          <w:p>
            <w:pPr>
              <w:rPr>
                <w:rFonts w:ascii="Arial"/>
                <w:sz w:val="21"/>
              </w:rPr>
            </w:pPr>
          </w:p>
        </w:tc>
        <w:tc>
          <w:tcPr>
            <w:tcW w:w="1818" w:type="dxa"/>
            <w:vAlign w:val="center"/>
          </w:tcPr>
          <w:p>
            <w:pPr>
              <w:pStyle w:val="8"/>
              <w:spacing w:before="19" w:line="196" w:lineRule="auto"/>
              <w:ind w:left="20"/>
              <w:jc w:val="center"/>
              <w:rPr>
                <w:sz w:val="17"/>
                <w:szCs w:val="17"/>
              </w:rPr>
            </w:pPr>
            <w:r>
              <w:rPr>
                <w:spacing w:val="-2"/>
                <w:sz w:val="17"/>
                <w:szCs w:val="17"/>
              </w:rPr>
              <w:t>使用规范性</w:t>
            </w:r>
          </w:p>
        </w:tc>
        <w:tc>
          <w:tcPr>
            <w:tcW w:w="3824" w:type="dxa"/>
            <w:gridSpan w:val="3"/>
            <w:vAlign w:val="top"/>
          </w:tcPr>
          <w:p>
            <w:pPr>
              <w:ind w:firstLine="420" w:firstLineChars="200"/>
              <w:rPr>
                <w:rFonts w:hint="eastAsia" w:ascii="Arial" w:hAnsi="Arial" w:eastAsia="Arial" w:cs="Arial"/>
                <w:snapToGrid w:val="0"/>
                <w:color w:val="000000"/>
                <w:kern w:val="0"/>
                <w:sz w:val="21"/>
                <w:szCs w:val="21"/>
                <w:lang w:val="en-US" w:eastAsia="en-US" w:bidi="ar-SA"/>
              </w:rPr>
            </w:pPr>
            <w:r>
              <w:rPr>
                <w:rFonts w:hint="eastAsia" w:ascii="Arial" w:hAnsi="Arial" w:eastAsia="Arial" w:cs="Arial"/>
                <w:snapToGrid w:val="0"/>
                <w:color w:val="000000"/>
                <w:kern w:val="0"/>
                <w:sz w:val="21"/>
                <w:szCs w:val="21"/>
                <w:lang w:val="en-US" w:eastAsia="en-US" w:bidi="ar-SA"/>
              </w:rPr>
              <w:t>实行收支两条线，专户</w:t>
            </w:r>
            <w:r>
              <w:rPr>
                <w:rFonts w:hint="eastAsia" w:ascii="Arial" w:hAnsi="Arial" w:eastAsia="Arial" w:cs="Arial"/>
                <w:snapToGrid w:val="0"/>
                <w:color w:val="000000"/>
                <w:kern w:val="0"/>
                <w:sz w:val="21"/>
                <w:szCs w:val="21"/>
                <w:lang w:val="en-US" w:eastAsia="zh-CN" w:bidi="ar-SA"/>
              </w:rPr>
              <w:t>管理</w:t>
            </w:r>
            <w:r>
              <w:rPr>
                <w:rFonts w:hint="eastAsia" w:ascii="Arial" w:hAnsi="Arial" w:eastAsia="Arial" w:cs="Arial"/>
                <w:snapToGrid w:val="0"/>
                <w:color w:val="000000"/>
                <w:kern w:val="0"/>
                <w:sz w:val="21"/>
                <w:szCs w:val="21"/>
                <w:lang w:val="en-US" w:eastAsia="en-US" w:bidi="ar-SA"/>
              </w:rPr>
              <w:t>，分账核算</w:t>
            </w:r>
          </w:p>
        </w:tc>
        <w:tc>
          <w:tcPr>
            <w:tcW w:w="650" w:type="dxa"/>
            <w:vAlign w:val="center"/>
          </w:tcPr>
          <w:p>
            <w:pPr>
              <w:pStyle w:val="8"/>
              <w:spacing w:before="64" w:line="136" w:lineRule="exact"/>
              <w:ind w:left="246"/>
              <w:jc w:val="both"/>
              <w:rPr>
                <w:sz w:val="17"/>
                <w:szCs w:val="17"/>
              </w:rPr>
            </w:pPr>
            <w:r>
              <w:rPr>
                <w:position w:val="-2"/>
                <w:sz w:val="17"/>
                <w:szCs w:val="17"/>
              </w:rPr>
              <w:t>5</w:t>
            </w:r>
          </w:p>
        </w:tc>
        <w:tc>
          <w:tcPr>
            <w:tcW w:w="738" w:type="dxa"/>
            <w:vAlign w:val="center"/>
          </w:tcPr>
          <w:p>
            <w:pPr>
              <w:spacing w:line="200" w:lineRule="exact"/>
              <w:jc w:val="center"/>
              <w:rPr>
                <w:rFonts w:hint="default" w:ascii="Arial"/>
                <w:sz w:val="17"/>
                <w:lang w:val="en-US"/>
              </w:rPr>
            </w:pPr>
            <w:r>
              <w:rPr>
                <w:rFonts w:hint="default"/>
                <w:sz w:val="17"/>
                <w:lang w:val="en-US"/>
              </w:rPr>
              <w:t>5</w:t>
            </w:r>
          </w:p>
        </w:tc>
        <w:tc>
          <w:tcPr>
            <w:tcW w:w="955"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624" w:type="dxa"/>
            <w:gridSpan w:val="3"/>
            <w:vMerge w:val="continue"/>
            <w:tcBorders>
              <w:top w:val="nil"/>
              <w:bottom w:val="nil"/>
            </w:tcBorders>
            <w:vAlign w:val="top"/>
          </w:tcPr>
          <w:p>
            <w:pPr>
              <w:rPr>
                <w:rFonts w:ascii="Arial"/>
                <w:sz w:val="21"/>
              </w:rPr>
            </w:pPr>
          </w:p>
        </w:tc>
        <w:tc>
          <w:tcPr>
            <w:tcW w:w="1818" w:type="dxa"/>
            <w:vAlign w:val="center"/>
          </w:tcPr>
          <w:p>
            <w:pPr>
              <w:pStyle w:val="8"/>
              <w:spacing w:before="19" w:line="185" w:lineRule="auto"/>
              <w:ind w:left="20"/>
              <w:jc w:val="center"/>
              <w:rPr>
                <w:sz w:val="17"/>
                <w:szCs w:val="17"/>
              </w:rPr>
            </w:pPr>
            <w:r>
              <w:rPr>
                <w:spacing w:val="-2"/>
                <w:sz w:val="17"/>
                <w:szCs w:val="17"/>
              </w:rPr>
              <w:t>执行准确性</w:t>
            </w:r>
          </w:p>
        </w:tc>
        <w:tc>
          <w:tcPr>
            <w:tcW w:w="3824" w:type="dxa"/>
            <w:gridSpan w:val="3"/>
            <w:vAlign w:val="top"/>
          </w:tcPr>
          <w:p>
            <w:pPr>
              <w:rPr>
                <w:rFonts w:hint="default" w:ascii="Arial" w:hAnsi="Arial" w:eastAsia="宋体" w:cs="Arial"/>
                <w:snapToGrid w:val="0"/>
                <w:color w:val="000000"/>
                <w:kern w:val="0"/>
                <w:sz w:val="21"/>
                <w:szCs w:val="21"/>
                <w:lang w:val="en-US" w:eastAsia="zh-CN" w:bidi="ar-SA"/>
              </w:rPr>
            </w:pPr>
            <w:r>
              <w:rPr>
                <w:rFonts w:hint="default"/>
                <w:sz w:val="21"/>
                <w:lang w:val="en-US"/>
              </w:rPr>
              <w:t xml:space="preserve">   </w:t>
            </w:r>
            <w:r>
              <w:rPr>
                <w:rFonts w:hint="eastAsia"/>
                <w:sz w:val="21"/>
                <w:lang w:val="en-US" w:eastAsia="zh-CN"/>
              </w:rPr>
              <w:t>在预算范围内严格遵循财务规定，对资金支付执行审签制度，并在规定时限内发放到位，确保各项支出符合规定并有效支持了各项工作的顺利开展。</w:t>
            </w:r>
          </w:p>
        </w:tc>
        <w:tc>
          <w:tcPr>
            <w:tcW w:w="650" w:type="dxa"/>
            <w:vAlign w:val="center"/>
          </w:tcPr>
          <w:p>
            <w:pPr>
              <w:pStyle w:val="8"/>
              <w:spacing w:before="64" w:line="126" w:lineRule="exact"/>
              <w:ind w:left="246"/>
              <w:jc w:val="both"/>
              <w:rPr>
                <w:sz w:val="17"/>
                <w:szCs w:val="17"/>
              </w:rPr>
            </w:pPr>
            <w:r>
              <w:rPr>
                <w:position w:val="-2"/>
                <w:sz w:val="17"/>
                <w:szCs w:val="17"/>
              </w:rPr>
              <w:t>5</w:t>
            </w:r>
          </w:p>
        </w:tc>
        <w:tc>
          <w:tcPr>
            <w:tcW w:w="738" w:type="dxa"/>
            <w:vAlign w:val="center"/>
          </w:tcPr>
          <w:p>
            <w:pPr>
              <w:spacing w:line="190" w:lineRule="exact"/>
              <w:jc w:val="center"/>
              <w:rPr>
                <w:rFonts w:hint="default" w:ascii="Arial"/>
                <w:sz w:val="16"/>
                <w:lang w:val="en-US"/>
              </w:rPr>
            </w:pPr>
            <w:r>
              <w:rPr>
                <w:rFonts w:hint="default"/>
                <w:sz w:val="16"/>
                <w:lang w:val="en-US"/>
              </w:rPr>
              <w:t>5</w:t>
            </w:r>
          </w:p>
        </w:tc>
        <w:tc>
          <w:tcPr>
            <w:tcW w:w="955" w:type="dxa"/>
            <w:vAlign w:val="top"/>
          </w:tcPr>
          <w:p>
            <w:pPr>
              <w:spacing w:line="190"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1624" w:type="dxa"/>
            <w:gridSpan w:val="3"/>
            <w:vMerge w:val="continue"/>
            <w:tcBorders>
              <w:top w:val="nil"/>
              <w:bottom w:val="nil"/>
            </w:tcBorders>
            <w:vAlign w:val="top"/>
          </w:tcPr>
          <w:p>
            <w:pPr>
              <w:rPr>
                <w:rFonts w:ascii="Arial"/>
                <w:sz w:val="21"/>
              </w:rPr>
            </w:pPr>
          </w:p>
        </w:tc>
        <w:tc>
          <w:tcPr>
            <w:tcW w:w="1818" w:type="dxa"/>
            <w:vAlign w:val="center"/>
          </w:tcPr>
          <w:p>
            <w:pPr>
              <w:pStyle w:val="8"/>
              <w:spacing w:before="19" w:line="196" w:lineRule="auto"/>
              <w:ind w:left="20"/>
              <w:jc w:val="center"/>
              <w:rPr>
                <w:sz w:val="17"/>
                <w:szCs w:val="17"/>
              </w:rPr>
            </w:pPr>
            <w:r>
              <w:rPr>
                <w:spacing w:val="-1"/>
                <w:sz w:val="17"/>
                <w:szCs w:val="17"/>
              </w:rPr>
              <w:t>预算绩效管理情况</w:t>
            </w:r>
          </w:p>
        </w:tc>
        <w:tc>
          <w:tcPr>
            <w:tcW w:w="3824" w:type="dxa"/>
            <w:gridSpan w:val="3"/>
            <w:vAlign w:val="top"/>
          </w:tcPr>
          <w:p>
            <w:pPr>
              <w:rPr>
                <w:rFonts w:ascii="Arial" w:hAnsi="Arial" w:eastAsia="Arial" w:cs="Arial"/>
                <w:snapToGrid w:val="0"/>
                <w:color w:val="000000"/>
                <w:kern w:val="0"/>
                <w:sz w:val="21"/>
                <w:szCs w:val="21"/>
                <w:lang w:val="en-US" w:eastAsia="en-US" w:bidi="ar-SA"/>
              </w:rPr>
            </w:pPr>
            <w:r>
              <w:rPr>
                <w:rFonts w:hint="eastAsia"/>
                <w:sz w:val="21"/>
                <w:lang w:val="en-US" w:eastAsia="zh-CN"/>
              </w:rPr>
              <w:t>加强预算编制绩效管理，强化项目绩效目标，对我部门预算项目进行全面梳理、加强审核、合理保障。强化预算绩效管理意识，抓好预算绩效管理的绩效目标管理和及绩效评价管理工作，充分利用预算绩效评价结果。</w:t>
            </w:r>
          </w:p>
        </w:tc>
        <w:tc>
          <w:tcPr>
            <w:tcW w:w="650" w:type="dxa"/>
            <w:vAlign w:val="center"/>
          </w:tcPr>
          <w:p>
            <w:pPr>
              <w:spacing w:line="200" w:lineRule="exact"/>
              <w:jc w:val="center"/>
              <w:rPr>
                <w:rFonts w:hint="default" w:ascii="Arial"/>
                <w:sz w:val="17"/>
                <w:lang w:val="en-US"/>
              </w:rPr>
            </w:pPr>
            <w:r>
              <w:rPr>
                <w:rFonts w:hint="default"/>
                <w:sz w:val="17"/>
                <w:lang w:val="en-US"/>
              </w:rPr>
              <w:t>5</w:t>
            </w:r>
          </w:p>
        </w:tc>
        <w:tc>
          <w:tcPr>
            <w:tcW w:w="738" w:type="dxa"/>
            <w:vAlign w:val="center"/>
          </w:tcPr>
          <w:p>
            <w:pPr>
              <w:spacing w:line="200" w:lineRule="exact"/>
              <w:jc w:val="center"/>
              <w:rPr>
                <w:rFonts w:hint="default" w:ascii="Arial"/>
                <w:sz w:val="17"/>
                <w:lang w:val="en-US"/>
              </w:rPr>
            </w:pPr>
            <w:r>
              <w:rPr>
                <w:rFonts w:hint="default"/>
                <w:sz w:val="17"/>
                <w:lang w:val="en-US"/>
              </w:rPr>
              <w:t>5</w:t>
            </w:r>
          </w:p>
        </w:tc>
        <w:tc>
          <w:tcPr>
            <w:tcW w:w="955"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1624" w:type="dxa"/>
            <w:gridSpan w:val="3"/>
            <w:vMerge w:val="continue"/>
            <w:tcBorders>
              <w:top w:val="nil"/>
              <w:bottom w:val="nil"/>
            </w:tcBorders>
            <w:vAlign w:val="top"/>
          </w:tcPr>
          <w:p>
            <w:pPr>
              <w:rPr>
                <w:rFonts w:ascii="Arial"/>
                <w:sz w:val="21"/>
              </w:rPr>
            </w:pPr>
          </w:p>
        </w:tc>
        <w:tc>
          <w:tcPr>
            <w:tcW w:w="1818" w:type="dxa"/>
            <w:vAlign w:val="center"/>
          </w:tcPr>
          <w:p>
            <w:pPr>
              <w:pStyle w:val="8"/>
              <w:spacing w:before="19" w:line="184" w:lineRule="auto"/>
              <w:ind w:left="20"/>
              <w:jc w:val="center"/>
              <w:rPr>
                <w:sz w:val="17"/>
                <w:szCs w:val="17"/>
              </w:rPr>
            </w:pPr>
            <w:r>
              <w:rPr>
                <w:spacing w:val="-1"/>
                <w:sz w:val="17"/>
                <w:szCs w:val="17"/>
              </w:rPr>
              <w:t>支出责任履行情况</w:t>
            </w:r>
          </w:p>
        </w:tc>
        <w:tc>
          <w:tcPr>
            <w:tcW w:w="3824" w:type="dxa"/>
            <w:gridSpan w:val="3"/>
            <w:vAlign w:val="top"/>
          </w:tcPr>
          <w:p>
            <w:pPr>
              <w:ind w:firstLine="420" w:firstLineChars="200"/>
              <w:jc w:val="both"/>
              <w:rPr>
                <w:rFonts w:hint="eastAsia" w:ascii="Arial"/>
                <w:sz w:val="21"/>
                <w:lang w:val="en-US" w:eastAsia="zh-CN"/>
              </w:rPr>
            </w:pPr>
            <w:r>
              <w:rPr>
                <w:rFonts w:hint="eastAsia" w:ascii="Arial"/>
                <w:sz w:val="21"/>
                <w:lang w:val="en-US" w:eastAsia="zh-CN"/>
              </w:rPr>
              <w:t>我市城乡居民</w:t>
            </w:r>
            <w:r>
              <w:rPr>
                <w:rFonts w:hint="eastAsia" w:ascii="Arial"/>
                <w:sz w:val="21"/>
              </w:rPr>
              <w:t>基本医疗保险基金实行市级统收统支，并对基金账户管理、预决算管理、收支管理、责任分担和监督管理等方面进一步明确操作流程和管理规定。</w:t>
            </w:r>
          </w:p>
          <w:p>
            <w:pPr>
              <w:rPr>
                <w:rFonts w:ascii="Arial" w:hAnsi="Arial" w:eastAsia="Arial" w:cs="Arial"/>
                <w:snapToGrid w:val="0"/>
                <w:color w:val="000000"/>
                <w:kern w:val="0"/>
                <w:sz w:val="21"/>
                <w:szCs w:val="21"/>
                <w:lang w:val="en-US" w:eastAsia="en-US" w:bidi="ar-SA"/>
              </w:rPr>
            </w:pPr>
          </w:p>
        </w:tc>
        <w:tc>
          <w:tcPr>
            <w:tcW w:w="650" w:type="dxa"/>
            <w:vAlign w:val="center"/>
          </w:tcPr>
          <w:p>
            <w:pPr>
              <w:pStyle w:val="8"/>
              <w:spacing w:before="64" w:line="125" w:lineRule="exact"/>
              <w:ind w:left="246"/>
              <w:jc w:val="both"/>
              <w:rPr>
                <w:sz w:val="17"/>
                <w:szCs w:val="17"/>
              </w:rPr>
            </w:pPr>
            <w:r>
              <w:rPr>
                <w:position w:val="-2"/>
                <w:sz w:val="17"/>
                <w:szCs w:val="17"/>
              </w:rPr>
              <w:t>5</w:t>
            </w:r>
          </w:p>
        </w:tc>
        <w:tc>
          <w:tcPr>
            <w:tcW w:w="738" w:type="dxa"/>
            <w:vAlign w:val="center"/>
          </w:tcPr>
          <w:p>
            <w:pPr>
              <w:spacing w:line="189" w:lineRule="exact"/>
              <w:jc w:val="center"/>
              <w:rPr>
                <w:rFonts w:hint="default" w:ascii="Arial"/>
                <w:sz w:val="16"/>
                <w:lang w:val="en-US"/>
              </w:rPr>
            </w:pPr>
            <w:r>
              <w:rPr>
                <w:rFonts w:hint="default"/>
                <w:sz w:val="16"/>
                <w:lang w:val="en-US"/>
              </w:rPr>
              <w:t>5</w:t>
            </w:r>
          </w:p>
        </w:tc>
        <w:tc>
          <w:tcPr>
            <w:tcW w:w="955" w:type="dxa"/>
            <w:vAlign w:val="top"/>
          </w:tcPr>
          <w:p>
            <w:pPr>
              <w:spacing w:line="189"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624" w:type="dxa"/>
            <w:gridSpan w:val="3"/>
            <w:vMerge w:val="continue"/>
            <w:tcBorders>
              <w:top w:val="nil"/>
            </w:tcBorders>
            <w:vAlign w:val="top"/>
          </w:tcPr>
          <w:p>
            <w:pPr>
              <w:rPr>
                <w:rFonts w:ascii="Arial"/>
                <w:sz w:val="21"/>
              </w:rPr>
            </w:pPr>
          </w:p>
        </w:tc>
        <w:tc>
          <w:tcPr>
            <w:tcW w:w="1818" w:type="dxa"/>
            <w:vAlign w:val="center"/>
          </w:tcPr>
          <w:p>
            <w:pPr>
              <w:pStyle w:val="8"/>
              <w:spacing w:before="21" w:line="183" w:lineRule="auto"/>
              <w:ind w:left="20"/>
              <w:jc w:val="center"/>
              <w:rPr>
                <w:color w:val="auto"/>
                <w:sz w:val="17"/>
                <w:szCs w:val="17"/>
                <w:highlight w:val="none"/>
              </w:rPr>
            </w:pPr>
            <w:r>
              <w:rPr>
                <w:color w:val="auto"/>
                <w:spacing w:val="-1"/>
                <w:sz w:val="17"/>
                <w:szCs w:val="17"/>
                <w:highlight w:val="none"/>
              </w:rPr>
              <w:t>政策目标实现情况</w:t>
            </w:r>
          </w:p>
        </w:tc>
        <w:tc>
          <w:tcPr>
            <w:tcW w:w="3824" w:type="dxa"/>
            <w:gridSpan w:val="3"/>
            <w:vAlign w:val="top"/>
          </w:tcPr>
          <w:p>
            <w:pPr>
              <w:ind w:firstLine="420" w:firstLineChars="200"/>
              <w:jc w:val="both"/>
              <w:rPr>
                <w:rFonts w:hint="default" w:ascii="Arial"/>
                <w:sz w:val="21"/>
                <w:lang w:val="en-US" w:eastAsia="zh-CN"/>
              </w:rPr>
            </w:pPr>
            <w:r>
              <w:rPr>
                <w:rFonts w:hint="eastAsia" w:ascii="Arial"/>
                <w:sz w:val="21"/>
                <w:lang w:val="en-US" w:eastAsia="zh-CN"/>
              </w:rPr>
              <w:t>完善统一的城乡居民医保制度，全面统筹管理。城乡居民医保参保率达到95%以上。落实城乡居民医保筹资政策，稳步提高筹资标准。新增筹资主要用于提高基本医疗保障水平，政</w:t>
            </w:r>
            <w:bookmarkStart w:id="0" w:name="_GoBack"/>
            <w:bookmarkEnd w:id="0"/>
            <w:r>
              <w:rPr>
                <w:rFonts w:hint="eastAsia" w:ascii="Arial"/>
                <w:sz w:val="21"/>
                <w:lang w:val="en-US" w:eastAsia="zh-CN"/>
              </w:rPr>
              <w:t>策范围内住院费用支付比例达到70%以上，逐步缩小与实际住院费用支付比例之间的差距。普通门诊政策范围内报销比例达到60%以上，城乡居民高血压、糖尿病门诊用药保障机制落地惠民。深化医保支付方式改革。除应参加职工基本医疗保险以外的所有人员均为城乡居民医保参保对象。通过补助城乡居民基本医疗保险，建立医疗保障领域可持续的投入保障长效机制，保障城乡居民能够享受基本医疗保障待遇和医疗保险服务，提高基本医疗卫生服务的供给效率和水平，维护困难群众健康权益和社会稳定和谐。</w:t>
            </w:r>
          </w:p>
          <w:p>
            <w:pPr>
              <w:spacing w:line="190" w:lineRule="exact"/>
              <w:rPr>
                <w:rFonts w:ascii="Arial"/>
                <w:color w:val="auto"/>
                <w:sz w:val="16"/>
                <w:highlight w:val="none"/>
              </w:rPr>
            </w:pPr>
          </w:p>
        </w:tc>
        <w:tc>
          <w:tcPr>
            <w:tcW w:w="650" w:type="dxa"/>
            <w:vAlign w:val="center"/>
          </w:tcPr>
          <w:p>
            <w:pPr>
              <w:pStyle w:val="8"/>
              <w:spacing w:before="65" w:line="125" w:lineRule="exact"/>
              <w:ind w:left="246"/>
              <w:jc w:val="both"/>
              <w:rPr>
                <w:sz w:val="17"/>
                <w:szCs w:val="17"/>
              </w:rPr>
            </w:pPr>
            <w:r>
              <w:rPr>
                <w:position w:val="-2"/>
                <w:sz w:val="17"/>
                <w:szCs w:val="17"/>
              </w:rPr>
              <w:t>5</w:t>
            </w:r>
          </w:p>
        </w:tc>
        <w:tc>
          <w:tcPr>
            <w:tcW w:w="738" w:type="dxa"/>
            <w:vAlign w:val="center"/>
          </w:tcPr>
          <w:p>
            <w:pPr>
              <w:spacing w:line="190" w:lineRule="exact"/>
              <w:jc w:val="center"/>
              <w:rPr>
                <w:rFonts w:hint="default" w:ascii="Arial"/>
                <w:sz w:val="16"/>
                <w:lang w:val="en-US"/>
              </w:rPr>
            </w:pPr>
            <w:r>
              <w:rPr>
                <w:rFonts w:hint="default"/>
                <w:sz w:val="16"/>
                <w:lang w:val="en-US"/>
              </w:rPr>
              <w:t>5</w:t>
            </w:r>
          </w:p>
        </w:tc>
        <w:tc>
          <w:tcPr>
            <w:tcW w:w="955" w:type="dxa"/>
            <w:vAlign w:val="top"/>
          </w:tcPr>
          <w:p>
            <w:pPr>
              <w:spacing w:line="190"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405" w:type="dxa"/>
            <w:vMerge w:val="restart"/>
            <w:tcBorders>
              <w:bottom w:val="nil"/>
            </w:tcBorders>
            <w:vAlign w:val="center"/>
          </w:tcPr>
          <w:p>
            <w:pPr>
              <w:pStyle w:val="8"/>
              <w:spacing w:before="12" w:line="221" w:lineRule="auto"/>
              <w:ind w:left="14" w:right="37" w:firstLine="9"/>
              <w:jc w:val="center"/>
              <w:rPr>
                <w:sz w:val="17"/>
                <w:szCs w:val="17"/>
              </w:rPr>
            </w:pPr>
            <w:r>
              <w:rPr>
                <w:spacing w:val="-6"/>
                <w:sz w:val="17"/>
                <w:szCs w:val="17"/>
              </w:rPr>
              <w:t>总体</w:t>
            </w:r>
            <w:r>
              <w:rPr>
                <w:sz w:val="17"/>
                <w:szCs w:val="17"/>
              </w:rPr>
              <w:t xml:space="preserve"> </w:t>
            </w:r>
            <w:r>
              <w:rPr>
                <w:sz w:val="30"/>
                <w:szCs w:val="30"/>
              </w:rPr>
              <w:t xml:space="preserve"> </w:t>
            </w:r>
            <w:r>
              <w:rPr>
                <w:spacing w:val="1"/>
                <w:sz w:val="17"/>
                <w:szCs w:val="17"/>
              </w:rPr>
              <w:t>情况</w:t>
            </w:r>
          </w:p>
        </w:tc>
        <w:tc>
          <w:tcPr>
            <w:tcW w:w="5149" w:type="dxa"/>
            <w:gridSpan w:val="5"/>
            <w:vAlign w:val="center"/>
          </w:tcPr>
          <w:p>
            <w:pPr>
              <w:pStyle w:val="8"/>
              <w:spacing w:before="41" w:line="216" w:lineRule="auto"/>
              <w:ind w:left="2129"/>
              <w:jc w:val="both"/>
              <w:rPr>
                <w:sz w:val="17"/>
                <w:szCs w:val="17"/>
              </w:rPr>
            </w:pPr>
            <w:r>
              <w:rPr>
                <w:spacing w:val="-3"/>
                <w:sz w:val="17"/>
                <w:szCs w:val="17"/>
              </w:rPr>
              <w:t>总体目标</w:t>
            </w:r>
          </w:p>
        </w:tc>
        <w:tc>
          <w:tcPr>
            <w:tcW w:w="4055" w:type="dxa"/>
            <w:gridSpan w:val="4"/>
            <w:vAlign w:val="center"/>
          </w:tcPr>
          <w:p>
            <w:pPr>
              <w:pStyle w:val="8"/>
              <w:spacing w:before="41" w:line="216" w:lineRule="auto"/>
              <w:ind w:left="1514"/>
              <w:jc w:val="both"/>
              <w:rPr>
                <w:sz w:val="17"/>
                <w:szCs w:val="17"/>
              </w:rPr>
            </w:pPr>
            <w:r>
              <w:rPr>
                <w:spacing w:val="-1"/>
                <w:sz w:val="17"/>
                <w:szCs w:val="17"/>
              </w:rPr>
              <w:t>全年实际完成情况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405" w:type="dxa"/>
            <w:vMerge w:val="continue"/>
            <w:tcBorders>
              <w:top w:val="nil"/>
            </w:tcBorders>
            <w:vAlign w:val="top"/>
          </w:tcPr>
          <w:p>
            <w:pPr>
              <w:rPr>
                <w:rFonts w:ascii="Arial"/>
                <w:sz w:val="21"/>
              </w:rPr>
            </w:pPr>
          </w:p>
        </w:tc>
        <w:tc>
          <w:tcPr>
            <w:tcW w:w="5149" w:type="dxa"/>
            <w:gridSpan w:val="5"/>
            <w:vAlign w:val="center"/>
          </w:tcPr>
          <w:p>
            <w:pPr>
              <w:jc w:val="center"/>
              <w:rPr>
                <w:rFonts w:ascii="Arial"/>
                <w:sz w:val="21"/>
              </w:rPr>
            </w:pPr>
            <w:r>
              <w:rPr>
                <w:rFonts w:hint="eastAsia" w:ascii="Arial"/>
                <w:sz w:val="21"/>
              </w:rPr>
              <w:t>本年度内基金运行规范，收支管理方面无突出问题，年度内基金收支平衡，政策范围内报销比例稳定在70%左右，基金使用效率得到提升。</w:t>
            </w:r>
          </w:p>
        </w:tc>
        <w:tc>
          <w:tcPr>
            <w:tcW w:w="4055" w:type="dxa"/>
            <w:gridSpan w:val="4"/>
            <w:vAlign w:val="top"/>
          </w:tcPr>
          <w:p>
            <w:pPr>
              <w:rPr>
                <w:rFonts w:ascii="Arial"/>
                <w:sz w:val="21"/>
              </w:rPr>
            </w:pPr>
            <w:r>
              <w:rPr>
                <w:rFonts w:hint="eastAsia" w:ascii="Arial"/>
                <w:sz w:val="21"/>
              </w:rPr>
              <w:t>202</w:t>
            </w:r>
            <w:r>
              <w:rPr>
                <w:rFonts w:hint="eastAsia" w:ascii="Arial"/>
                <w:sz w:val="21"/>
                <w:lang w:val="en-US" w:eastAsia="zh-CN"/>
              </w:rPr>
              <w:t>3年度</w:t>
            </w:r>
            <w:r>
              <w:rPr>
                <w:rFonts w:hint="eastAsia" w:ascii="Arial"/>
                <w:sz w:val="21"/>
              </w:rPr>
              <w:t>，城乡居民基本医疗保险补助资金分配使用管理整体情况良好，参保率持续巩固，保障水平稳步提高，基金收支总量平衡，较好地完成了年初设定的绩效目标。一是医保制度不断完善，参保率持续巩固。持续做好城乡居民医保参保筹资工作，放开灵活就业人员参保户籍限制，促进新就业形态劳动者参加基本医保。</w:t>
            </w:r>
            <w:r>
              <w:rPr>
                <w:rFonts w:hint="eastAsia" w:ascii="Arial"/>
                <w:sz w:val="21"/>
                <w:lang w:val="en-US" w:eastAsia="zh-CN"/>
              </w:rPr>
              <w:t>二是</w:t>
            </w:r>
            <w:r>
              <w:rPr>
                <w:rFonts w:hint="eastAsia" w:ascii="Arial"/>
                <w:sz w:val="21"/>
              </w:rPr>
              <w:t>政策支持力度持续加大，基本医保待遇保持稳定。继续完善“两病”门诊用药保障机制，发挥政策叠加、机制协同作用，保障参保患者</w:t>
            </w:r>
            <w:r>
              <w:rPr>
                <w:rFonts w:hint="eastAsia" w:ascii="Arial"/>
                <w:sz w:val="21"/>
                <w:lang w:val="en-US" w:eastAsia="zh-CN"/>
              </w:rPr>
              <w:t>就医健康</w:t>
            </w:r>
            <w:r>
              <w:rPr>
                <w:rFonts w:hint="eastAsia" w:ascii="Arial"/>
                <w:sz w:val="21"/>
              </w:rPr>
              <w:t>需求。三是年度基金收支基本平衡，后续平稳运行有支撑。随着近年来个人缴费标准和各级财政补助的不断提高，从基金</w:t>
            </w:r>
            <w:r>
              <w:rPr>
                <w:rFonts w:hint="eastAsia" w:ascii="Arial"/>
                <w:sz w:val="21"/>
                <w:lang w:val="en-US" w:eastAsia="zh-CN"/>
              </w:rPr>
              <w:t>收入</w:t>
            </w:r>
            <w:r>
              <w:rPr>
                <w:rFonts w:hint="eastAsia" w:ascii="Arial"/>
                <w:sz w:val="21"/>
              </w:rPr>
              <w:t>情况看，总体实现“收支平衡，略有结余”目标，基金运行比较平稳</w:t>
            </w:r>
            <w:r>
              <w:rPr>
                <w:rFonts w:hint="eastAsia" w:ascii="Arial"/>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05" w:type="dxa"/>
            <w:vMerge w:val="restart"/>
            <w:tcBorders>
              <w:bottom w:val="nil"/>
            </w:tcBorders>
            <w:textDirection w:val="tbRlV"/>
            <w:vAlign w:val="top"/>
          </w:tcPr>
          <w:p>
            <w:pPr>
              <w:pStyle w:val="8"/>
              <w:spacing w:before="119" w:line="217" w:lineRule="auto"/>
              <w:ind w:left="3036"/>
              <w:rPr>
                <w:sz w:val="17"/>
                <w:szCs w:val="17"/>
              </w:rPr>
            </w:pPr>
            <w:r>
              <w:rPr>
                <w:sz w:val="17"/>
                <w:szCs w:val="17"/>
              </w:rPr>
              <w:t>绩效指标</w:t>
            </w:r>
          </w:p>
        </w:tc>
        <w:tc>
          <w:tcPr>
            <w:tcW w:w="400" w:type="dxa"/>
            <w:vAlign w:val="center"/>
          </w:tcPr>
          <w:p>
            <w:pPr>
              <w:pStyle w:val="8"/>
              <w:spacing w:before="24" w:line="198" w:lineRule="auto"/>
              <w:ind w:left="19" w:firstLine="39"/>
              <w:jc w:val="center"/>
              <w:rPr>
                <w:sz w:val="17"/>
                <w:szCs w:val="17"/>
              </w:rPr>
            </w:pPr>
            <w:r>
              <w:rPr>
                <w:spacing w:val="-5"/>
                <w:sz w:val="17"/>
                <w:szCs w:val="17"/>
              </w:rPr>
              <w:t>一级</w:t>
            </w:r>
            <w:r>
              <w:rPr>
                <w:sz w:val="17"/>
                <w:szCs w:val="17"/>
              </w:rPr>
              <w:t xml:space="preserve"> </w:t>
            </w:r>
            <w:r>
              <w:rPr>
                <w:spacing w:val="-3"/>
                <w:sz w:val="17"/>
                <w:szCs w:val="17"/>
              </w:rPr>
              <w:t>指标</w:t>
            </w:r>
          </w:p>
        </w:tc>
        <w:tc>
          <w:tcPr>
            <w:tcW w:w="819" w:type="dxa"/>
            <w:vAlign w:val="center"/>
          </w:tcPr>
          <w:p>
            <w:pPr>
              <w:pStyle w:val="8"/>
              <w:spacing w:before="122" w:line="220" w:lineRule="auto"/>
              <w:ind w:left="60"/>
              <w:jc w:val="center"/>
              <w:rPr>
                <w:sz w:val="17"/>
                <w:szCs w:val="17"/>
              </w:rPr>
            </w:pPr>
            <w:r>
              <w:rPr>
                <w:spacing w:val="-2"/>
                <w:sz w:val="17"/>
                <w:szCs w:val="17"/>
              </w:rPr>
              <w:t>二级指标</w:t>
            </w:r>
          </w:p>
        </w:tc>
        <w:tc>
          <w:tcPr>
            <w:tcW w:w="2757" w:type="dxa"/>
            <w:gridSpan w:val="2"/>
            <w:vAlign w:val="center"/>
          </w:tcPr>
          <w:p>
            <w:pPr>
              <w:pStyle w:val="8"/>
              <w:spacing w:before="122" w:line="220" w:lineRule="auto"/>
              <w:ind w:left="1080"/>
              <w:jc w:val="center"/>
              <w:rPr>
                <w:sz w:val="17"/>
                <w:szCs w:val="17"/>
              </w:rPr>
            </w:pPr>
            <w:r>
              <w:rPr>
                <w:spacing w:val="-2"/>
                <w:sz w:val="17"/>
                <w:szCs w:val="17"/>
              </w:rPr>
              <w:t>三级指标</w:t>
            </w:r>
          </w:p>
        </w:tc>
        <w:tc>
          <w:tcPr>
            <w:tcW w:w="1173" w:type="dxa"/>
            <w:vAlign w:val="center"/>
          </w:tcPr>
          <w:p>
            <w:pPr>
              <w:pStyle w:val="8"/>
              <w:spacing w:before="121" w:line="219" w:lineRule="auto"/>
              <w:ind w:left="213"/>
              <w:jc w:val="center"/>
              <w:rPr>
                <w:sz w:val="17"/>
                <w:szCs w:val="17"/>
              </w:rPr>
            </w:pPr>
            <w:r>
              <w:rPr>
                <w:spacing w:val="-2"/>
                <w:sz w:val="17"/>
                <w:szCs w:val="17"/>
              </w:rPr>
              <w:t>指标值</w:t>
            </w:r>
          </w:p>
        </w:tc>
        <w:tc>
          <w:tcPr>
            <w:tcW w:w="1712" w:type="dxa"/>
            <w:vAlign w:val="center"/>
          </w:tcPr>
          <w:p>
            <w:pPr>
              <w:pStyle w:val="8"/>
              <w:spacing w:before="22" w:line="199" w:lineRule="auto"/>
              <w:ind w:left="334" w:hanging="240"/>
              <w:jc w:val="center"/>
              <w:rPr>
                <w:sz w:val="17"/>
                <w:szCs w:val="17"/>
              </w:rPr>
            </w:pPr>
            <w:r>
              <w:rPr>
                <w:spacing w:val="-2"/>
                <w:sz w:val="17"/>
                <w:szCs w:val="17"/>
              </w:rPr>
              <w:t>全年实际完</w:t>
            </w:r>
            <w:r>
              <w:rPr>
                <w:spacing w:val="2"/>
                <w:sz w:val="17"/>
                <w:szCs w:val="17"/>
              </w:rPr>
              <w:t xml:space="preserve"> </w:t>
            </w:r>
            <w:r>
              <w:rPr>
                <w:spacing w:val="-2"/>
                <w:sz w:val="17"/>
                <w:szCs w:val="17"/>
              </w:rPr>
              <w:t>成值</w:t>
            </w:r>
          </w:p>
        </w:tc>
        <w:tc>
          <w:tcPr>
            <w:tcW w:w="650" w:type="dxa"/>
            <w:vAlign w:val="center"/>
          </w:tcPr>
          <w:p>
            <w:pPr>
              <w:pStyle w:val="8"/>
              <w:spacing w:before="121" w:line="219" w:lineRule="auto"/>
              <w:ind w:left="115"/>
              <w:jc w:val="center"/>
              <w:rPr>
                <w:sz w:val="17"/>
                <w:szCs w:val="17"/>
              </w:rPr>
            </w:pPr>
            <w:r>
              <w:rPr>
                <w:spacing w:val="-3"/>
                <w:sz w:val="17"/>
                <w:szCs w:val="17"/>
              </w:rPr>
              <w:t>分值</w:t>
            </w:r>
          </w:p>
        </w:tc>
        <w:tc>
          <w:tcPr>
            <w:tcW w:w="738" w:type="dxa"/>
            <w:vAlign w:val="center"/>
          </w:tcPr>
          <w:p>
            <w:pPr>
              <w:pStyle w:val="8"/>
              <w:spacing w:before="121" w:line="219" w:lineRule="auto"/>
              <w:ind w:left="56"/>
              <w:jc w:val="center"/>
              <w:rPr>
                <w:sz w:val="17"/>
                <w:szCs w:val="17"/>
              </w:rPr>
            </w:pPr>
            <w:r>
              <w:rPr>
                <w:spacing w:val="-2"/>
                <w:sz w:val="17"/>
                <w:szCs w:val="17"/>
              </w:rPr>
              <w:t>得分</w:t>
            </w:r>
          </w:p>
        </w:tc>
        <w:tc>
          <w:tcPr>
            <w:tcW w:w="955" w:type="dxa"/>
            <w:vAlign w:val="center"/>
          </w:tcPr>
          <w:p>
            <w:pPr>
              <w:pStyle w:val="8"/>
              <w:spacing w:before="121" w:line="219" w:lineRule="auto"/>
              <w:jc w:val="both"/>
              <w:rPr>
                <w:sz w:val="17"/>
                <w:szCs w:val="17"/>
              </w:rPr>
            </w:pPr>
            <w:r>
              <w:rPr>
                <w:spacing w:val="-1"/>
                <w:sz w:val="17"/>
                <w:szCs w:val="17"/>
              </w:rPr>
              <w:t>未完成原因和改进措施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05" w:type="dxa"/>
            <w:vMerge w:val="continue"/>
            <w:tcBorders>
              <w:top w:val="nil"/>
              <w:bottom w:val="nil"/>
            </w:tcBorders>
            <w:textDirection w:val="tbRlV"/>
            <w:vAlign w:val="top"/>
          </w:tcPr>
          <w:p>
            <w:pPr>
              <w:rPr>
                <w:rFonts w:ascii="Arial"/>
                <w:sz w:val="21"/>
              </w:rPr>
            </w:pPr>
          </w:p>
        </w:tc>
        <w:tc>
          <w:tcPr>
            <w:tcW w:w="400" w:type="dxa"/>
            <w:vMerge w:val="restart"/>
            <w:textDirection w:val="tbRlV"/>
            <w:vAlign w:val="center"/>
          </w:tcPr>
          <w:p>
            <w:pPr>
              <w:pStyle w:val="8"/>
              <w:spacing w:before="120" w:line="216" w:lineRule="auto"/>
              <w:ind w:left="1027"/>
              <w:jc w:val="center"/>
              <w:rPr>
                <w:sz w:val="17"/>
                <w:szCs w:val="17"/>
              </w:rPr>
            </w:pPr>
            <w:r>
              <w:rPr>
                <w:sz w:val="17"/>
                <w:szCs w:val="17"/>
              </w:rPr>
              <w:t>产出指标</w:t>
            </w:r>
          </w:p>
        </w:tc>
        <w:tc>
          <w:tcPr>
            <w:tcW w:w="819" w:type="dxa"/>
            <w:vMerge w:val="restart"/>
            <w:tcBorders>
              <w:bottom w:val="nil"/>
            </w:tcBorders>
            <w:vAlign w:val="center"/>
          </w:tcPr>
          <w:p>
            <w:pPr>
              <w:pStyle w:val="8"/>
              <w:spacing w:before="242" w:line="219" w:lineRule="auto"/>
              <w:ind w:left="60"/>
              <w:jc w:val="center"/>
              <w:rPr>
                <w:sz w:val="17"/>
                <w:szCs w:val="17"/>
              </w:rPr>
            </w:pPr>
            <w:r>
              <w:rPr>
                <w:spacing w:val="-2"/>
                <w:sz w:val="17"/>
                <w:szCs w:val="17"/>
              </w:rPr>
              <w:t>数量指标</w:t>
            </w:r>
          </w:p>
        </w:tc>
        <w:tc>
          <w:tcPr>
            <w:tcW w:w="2757" w:type="dxa"/>
            <w:gridSpan w:val="2"/>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参保人数</w:t>
            </w:r>
          </w:p>
        </w:tc>
        <w:tc>
          <w:tcPr>
            <w:tcW w:w="1173" w:type="dxa"/>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≧18.2万人</w:t>
            </w:r>
          </w:p>
        </w:tc>
        <w:tc>
          <w:tcPr>
            <w:tcW w:w="1712" w:type="dxa"/>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18.2万人</w:t>
            </w:r>
          </w:p>
        </w:tc>
        <w:tc>
          <w:tcPr>
            <w:tcW w:w="650" w:type="dxa"/>
            <w:vAlign w:val="center"/>
          </w:tcPr>
          <w:p>
            <w:pPr>
              <w:spacing w:line="200" w:lineRule="exact"/>
              <w:jc w:val="center"/>
              <w:rPr>
                <w:rFonts w:hint="default" w:ascii="Arial"/>
                <w:sz w:val="17"/>
                <w:lang w:val="en-US"/>
              </w:rPr>
            </w:pPr>
            <w:r>
              <w:rPr>
                <w:rFonts w:hint="default"/>
                <w:sz w:val="17"/>
                <w:lang w:val="en-US"/>
              </w:rPr>
              <w:t>5</w:t>
            </w:r>
          </w:p>
        </w:tc>
        <w:tc>
          <w:tcPr>
            <w:tcW w:w="738" w:type="dxa"/>
            <w:vAlign w:val="center"/>
          </w:tcPr>
          <w:p>
            <w:pPr>
              <w:spacing w:line="200" w:lineRule="exact"/>
              <w:jc w:val="center"/>
              <w:rPr>
                <w:rFonts w:hint="default" w:ascii="Arial" w:hAnsi="Arial" w:eastAsia="Arial" w:cs="Arial"/>
                <w:snapToGrid w:val="0"/>
                <w:color w:val="000000"/>
                <w:kern w:val="0"/>
                <w:sz w:val="17"/>
                <w:szCs w:val="21"/>
                <w:lang w:val="en-US" w:eastAsia="en-US" w:bidi="ar-SA"/>
              </w:rPr>
            </w:pPr>
            <w:r>
              <w:rPr>
                <w:rFonts w:hint="default"/>
                <w:sz w:val="17"/>
                <w:lang w:val="en-US"/>
              </w:rPr>
              <w:t>5</w:t>
            </w:r>
          </w:p>
        </w:tc>
        <w:tc>
          <w:tcPr>
            <w:tcW w:w="955"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405" w:type="dxa"/>
            <w:vMerge w:val="continue"/>
            <w:tcBorders>
              <w:top w:val="nil"/>
              <w:bottom w:val="nil"/>
            </w:tcBorders>
            <w:textDirection w:val="tbRlV"/>
            <w:vAlign w:val="top"/>
          </w:tcPr>
          <w:p>
            <w:pPr>
              <w:rPr>
                <w:rFonts w:ascii="Arial"/>
                <w:sz w:val="21"/>
              </w:rPr>
            </w:pPr>
          </w:p>
        </w:tc>
        <w:tc>
          <w:tcPr>
            <w:tcW w:w="400" w:type="dxa"/>
            <w:vMerge w:val="continue"/>
            <w:textDirection w:val="tbRlV"/>
            <w:vAlign w:val="center"/>
          </w:tcPr>
          <w:p>
            <w:pPr>
              <w:jc w:val="center"/>
              <w:rPr>
                <w:rFonts w:ascii="Arial"/>
                <w:sz w:val="21"/>
              </w:rPr>
            </w:pPr>
          </w:p>
        </w:tc>
        <w:tc>
          <w:tcPr>
            <w:tcW w:w="819" w:type="dxa"/>
            <w:vMerge w:val="continue"/>
            <w:tcBorders>
              <w:top w:val="nil"/>
              <w:bottom w:val="nil"/>
            </w:tcBorders>
            <w:vAlign w:val="center"/>
          </w:tcPr>
          <w:p>
            <w:pPr>
              <w:jc w:val="center"/>
              <w:rPr>
                <w:rFonts w:ascii="Arial"/>
                <w:sz w:val="21"/>
              </w:rPr>
            </w:pPr>
          </w:p>
        </w:tc>
        <w:tc>
          <w:tcPr>
            <w:tcW w:w="2757" w:type="dxa"/>
            <w:gridSpan w:val="2"/>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待遇人次</w:t>
            </w:r>
          </w:p>
        </w:tc>
        <w:tc>
          <w:tcPr>
            <w:tcW w:w="1173" w:type="dxa"/>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≧50.39万人次</w:t>
            </w:r>
          </w:p>
        </w:tc>
        <w:tc>
          <w:tcPr>
            <w:tcW w:w="1712" w:type="dxa"/>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50.39万人次</w:t>
            </w:r>
          </w:p>
        </w:tc>
        <w:tc>
          <w:tcPr>
            <w:tcW w:w="650" w:type="dxa"/>
            <w:vAlign w:val="center"/>
          </w:tcPr>
          <w:p>
            <w:pPr>
              <w:spacing w:line="189" w:lineRule="exact"/>
              <w:jc w:val="center"/>
              <w:rPr>
                <w:rFonts w:hint="default" w:ascii="Arial"/>
                <w:sz w:val="16"/>
                <w:lang w:val="en-US"/>
              </w:rPr>
            </w:pPr>
            <w:r>
              <w:rPr>
                <w:rFonts w:hint="default"/>
                <w:sz w:val="16"/>
                <w:lang w:val="en-US"/>
              </w:rPr>
              <w:t>5</w:t>
            </w:r>
          </w:p>
        </w:tc>
        <w:tc>
          <w:tcPr>
            <w:tcW w:w="738" w:type="dxa"/>
            <w:vAlign w:val="center"/>
          </w:tcPr>
          <w:p>
            <w:pPr>
              <w:spacing w:line="189" w:lineRule="exact"/>
              <w:jc w:val="center"/>
              <w:rPr>
                <w:rFonts w:hint="default" w:ascii="Arial" w:hAnsi="Arial" w:eastAsia="Arial" w:cs="Arial"/>
                <w:snapToGrid w:val="0"/>
                <w:color w:val="000000"/>
                <w:kern w:val="0"/>
                <w:sz w:val="16"/>
                <w:szCs w:val="21"/>
                <w:lang w:val="en-US" w:eastAsia="en-US" w:bidi="ar-SA"/>
              </w:rPr>
            </w:pPr>
            <w:r>
              <w:rPr>
                <w:rFonts w:hint="default"/>
                <w:sz w:val="16"/>
                <w:lang w:val="en-US"/>
              </w:rPr>
              <w:t>5</w:t>
            </w:r>
          </w:p>
        </w:tc>
        <w:tc>
          <w:tcPr>
            <w:tcW w:w="955" w:type="dxa"/>
            <w:vAlign w:val="top"/>
          </w:tcPr>
          <w:p>
            <w:pPr>
              <w:spacing w:line="189"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405" w:type="dxa"/>
            <w:vMerge w:val="continue"/>
            <w:tcBorders>
              <w:top w:val="nil"/>
              <w:bottom w:val="nil"/>
            </w:tcBorders>
            <w:textDirection w:val="tbRlV"/>
            <w:vAlign w:val="top"/>
          </w:tcPr>
          <w:p>
            <w:pPr>
              <w:rPr>
                <w:rFonts w:ascii="Arial"/>
                <w:sz w:val="21"/>
              </w:rPr>
            </w:pPr>
          </w:p>
        </w:tc>
        <w:tc>
          <w:tcPr>
            <w:tcW w:w="400" w:type="dxa"/>
            <w:vMerge w:val="continue"/>
            <w:textDirection w:val="tbRlV"/>
            <w:vAlign w:val="center"/>
          </w:tcPr>
          <w:p>
            <w:pPr>
              <w:jc w:val="center"/>
              <w:rPr>
                <w:rFonts w:ascii="Arial"/>
                <w:sz w:val="21"/>
              </w:rPr>
            </w:pPr>
          </w:p>
        </w:tc>
        <w:tc>
          <w:tcPr>
            <w:tcW w:w="819" w:type="dxa"/>
            <w:vMerge w:val="continue"/>
            <w:tcBorders>
              <w:top w:val="nil"/>
            </w:tcBorders>
            <w:vAlign w:val="center"/>
          </w:tcPr>
          <w:p>
            <w:pPr>
              <w:jc w:val="center"/>
              <w:rPr>
                <w:rFonts w:ascii="Arial"/>
                <w:sz w:val="21"/>
              </w:rPr>
            </w:pPr>
          </w:p>
        </w:tc>
        <w:tc>
          <w:tcPr>
            <w:tcW w:w="2757" w:type="dxa"/>
            <w:gridSpan w:val="2"/>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政策范围内报销比例</w:t>
            </w:r>
          </w:p>
        </w:tc>
        <w:tc>
          <w:tcPr>
            <w:tcW w:w="1173" w:type="dxa"/>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≧70%</w:t>
            </w:r>
          </w:p>
        </w:tc>
        <w:tc>
          <w:tcPr>
            <w:tcW w:w="1712" w:type="dxa"/>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≧70%</w:t>
            </w:r>
          </w:p>
        </w:tc>
        <w:tc>
          <w:tcPr>
            <w:tcW w:w="650" w:type="dxa"/>
            <w:vAlign w:val="center"/>
          </w:tcPr>
          <w:p>
            <w:pPr>
              <w:spacing w:line="200" w:lineRule="exact"/>
              <w:jc w:val="center"/>
              <w:rPr>
                <w:rFonts w:hint="default" w:ascii="Arial"/>
                <w:sz w:val="17"/>
                <w:lang w:val="en-US"/>
              </w:rPr>
            </w:pPr>
            <w:r>
              <w:rPr>
                <w:rFonts w:hint="default"/>
                <w:sz w:val="17"/>
                <w:lang w:val="en-US"/>
              </w:rPr>
              <w:t>5</w:t>
            </w:r>
          </w:p>
        </w:tc>
        <w:tc>
          <w:tcPr>
            <w:tcW w:w="738" w:type="dxa"/>
            <w:vAlign w:val="center"/>
          </w:tcPr>
          <w:p>
            <w:pPr>
              <w:spacing w:line="200" w:lineRule="exact"/>
              <w:jc w:val="center"/>
              <w:rPr>
                <w:rFonts w:hint="default" w:ascii="Arial" w:hAnsi="Arial" w:eastAsia="Arial" w:cs="Arial"/>
                <w:snapToGrid w:val="0"/>
                <w:color w:val="000000"/>
                <w:kern w:val="0"/>
                <w:sz w:val="17"/>
                <w:szCs w:val="21"/>
                <w:lang w:val="en-US" w:eastAsia="en-US" w:bidi="ar-SA"/>
              </w:rPr>
            </w:pPr>
            <w:r>
              <w:rPr>
                <w:rFonts w:hint="default"/>
                <w:sz w:val="17"/>
                <w:lang w:val="en-US"/>
              </w:rPr>
              <w:t>5</w:t>
            </w:r>
          </w:p>
        </w:tc>
        <w:tc>
          <w:tcPr>
            <w:tcW w:w="955"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405" w:type="dxa"/>
            <w:vMerge w:val="continue"/>
            <w:tcBorders>
              <w:top w:val="nil"/>
              <w:bottom w:val="nil"/>
            </w:tcBorders>
            <w:textDirection w:val="tbRlV"/>
            <w:vAlign w:val="top"/>
          </w:tcPr>
          <w:p>
            <w:pPr>
              <w:rPr>
                <w:rFonts w:ascii="Arial"/>
                <w:sz w:val="21"/>
              </w:rPr>
            </w:pPr>
          </w:p>
        </w:tc>
        <w:tc>
          <w:tcPr>
            <w:tcW w:w="400" w:type="dxa"/>
            <w:vMerge w:val="continue"/>
            <w:textDirection w:val="tbRlV"/>
            <w:vAlign w:val="center"/>
          </w:tcPr>
          <w:p>
            <w:pPr>
              <w:jc w:val="center"/>
              <w:rPr>
                <w:rFonts w:ascii="Arial"/>
                <w:sz w:val="21"/>
              </w:rPr>
            </w:pPr>
          </w:p>
        </w:tc>
        <w:tc>
          <w:tcPr>
            <w:tcW w:w="819" w:type="dxa"/>
            <w:vMerge w:val="restart"/>
            <w:tcBorders>
              <w:bottom w:val="nil"/>
            </w:tcBorders>
            <w:vAlign w:val="center"/>
          </w:tcPr>
          <w:p>
            <w:pPr>
              <w:pStyle w:val="8"/>
              <w:spacing w:before="234" w:line="220" w:lineRule="auto"/>
              <w:ind w:left="60"/>
              <w:jc w:val="center"/>
              <w:rPr>
                <w:sz w:val="17"/>
                <w:szCs w:val="17"/>
              </w:rPr>
            </w:pPr>
            <w:r>
              <w:rPr>
                <w:spacing w:val="-2"/>
                <w:sz w:val="17"/>
                <w:szCs w:val="17"/>
              </w:rPr>
              <w:t>质量指标</w:t>
            </w:r>
          </w:p>
        </w:tc>
        <w:tc>
          <w:tcPr>
            <w:tcW w:w="2757" w:type="dxa"/>
            <w:gridSpan w:val="2"/>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医保综合监管能力</w:t>
            </w:r>
          </w:p>
        </w:tc>
        <w:tc>
          <w:tcPr>
            <w:tcW w:w="1173" w:type="dxa"/>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有所提升</w:t>
            </w:r>
          </w:p>
        </w:tc>
        <w:tc>
          <w:tcPr>
            <w:tcW w:w="1712" w:type="dxa"/>
            <w:vAlign w:val="center"/>
          </w:tcPr>
          <w:p>
            <w:pPr>
              <w:spacing w:line="210" w:lineRule="exact"/>
              <w:jc w:val="center"/>
              <w:rPr>
                <w:rFonts w:hint="eastAsia" w:ascii="Arial"/>
                <w:sz w:val="18"/>
                <w:lang w:val="en-US" w:eastAsia="zh-CN"/>
              </w:rPr>
            </w:pPr>
            <w:r>
              <w:rPr>
                <w:rFonts w:hint="eastAsia" w:ascii="Arial"/>
                <w:sz w:val="18"/>
                <w:lang w:val="en-US" w:eastAsia="zh-CN"/>
              </w:rPr>
              <w:t>按经办流程审核、审批，拨付，严格执行基金财务会计内控制度。并对疑点、大额报销金额实时监控。</w:t>
            </w:r>
          </w:p>
          <w:p>
            <w:pPr>
              <w:spacing w:line="210" w:lineRule="exact"/>
              <w:jc w:val="center"/>
              <w:rPr>
                <w:rFonts w:hint="eastAsia" w:ascii="Arial" w:hAnsi="Arial" w:eastAsia="Arial" w:cs="Arial"/>
                <w:snapToGrid w:val="0"/>
                <w:color w:val="000000"/>
                <w:kern w:val="0"/>
                <w:sz w:val="18"/>
                <w:szCs w:val="21"/>
                <w:lang w:val="en-US" w:eastAsia="zh-CN" w:bidi="ar-SA"/>
              </w:rPr>
            </w:pPr>
          </w:p>
        </w:tc>
        <w:tc>
          <w:tcPr>
            <w:tcW w:w="650" w:type="dxa"/>
            <w:vAlign w:val="center"/>
          </w:tcPr>
          <w:p>
            <w:pPr>
              <w:spacing w:line="180" w:lineRule="exact"/>
              <w:jc w:val="center"/>
              <w:rPr>
                <w:rFonts w:hint="default" w:ascii="Arial"/>
                <w:sz w:val="15"/>
                <w:lang w:val="en-US"/>
              </w:rPr>
            </w:pPr>
            <w:r>
              <w:rPr>
                <w:rFonts w:hint="default"/>
                <w:sz w:val="15"/>
                <w:lang w:val="en-US"/>
              </w:rPr>
              <w:t>5</w:t>
            </w:r>
          </w:p>
        </w:tc>
        <w:tc>
          <w:tcPr>
            <w:tcW w:w="738" w:type="dxa"/>
            <w:vAlign w:val="center"/>
          </w:tcPr>
          <w:p>
            <w:pPr>
              <w:spacing w:line="180" w:lineRule="exact"/>
              <w:jc w:val="center"/>
              <w:rPr>
                <w:rFonts w:hint="default" w:ascii="Arial" w:hAnsi="Arial" w:eastAsia="Arial" w:cs="Arial"/>
                <w:snapToGrid w:val="0"/>
                <w:color w:val="000000"/>
                <w:kern w:val="0"/>
                <w:sz w:val="15"/>
                <w:szCs w:val="21"/>
                <w:lang w:val="en-US" w:eastAsia="en-US" w:bidi="ar-SA"/>
              </w:rPr>
            </w:pPr>
            <w:r>
              <w:rPr>
                <w:rFonts w:hint="default"/>
                <w:sz w:val="15"/>
                <w:lang w:val="en-US"/>
              </w:rPr>
              <w:t>5</w:t>
            </w:r>
          </w:p>
        </w:tc>
        <w:tc>
          <w:tcPr>
            <w:tcW w:w="955" w:type="dxa"/>
            <w:vAlign w:val="top"/>
          </w:tcPr>
          <w:p>
            <w:pPr>
              <w:spacing w:line="180" w:lineRule="exact"/>
              <w:rPr>
                <w:rFonts w:ascii="Arial"/>
                <w:sz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05" w:type="dxa"/>
            <w:vMerge w:val="continue"/>
            <w:tcBorders>
              <w:top w:val="nil"/>
              <w:bottom w:val="nil"/>
            </w:tcBorders>
            <w:textDirection w:val="tbRlV"/>
            <w:vAlign w:val="top"/>
          </w:tcPr>
          <w:p>
            <w:pPr>
              <w:rPr>
                <w:rFonts w:ascii="Arial"/>
                <w:sz w:val="21"/>
              </w:rPr>
            </w:pPr>
          </w:p>
        </w:tc>
        <w:tc>
          <w:tcPr>
            <w:tcW w:w="400" w:type="dxa"/>
            <w:vMerge w:val="continue"/>
            <w:textDirection w:val="tbRlV"/>
            <w:vAlign w:val="center"/>
          </w:tcPr>
          <w:p>
            <w:pPr>
              <w:jc w:val="center"/>
              <w:rPr>
                <w:rFonts w:ascii="Arial"/>
                <w:sz w:val="21"/>
              </w:rPr>
            </w:pPr>
          </w:p>
        </w:tc>
        <w:tc>
          <w:tcPr>
            <w:tcW w:w="819" w:type="dxa"/>
            <w:vMerge w:val="continue"/>
            <w:tcBorders>
              <w:top w:val="nil"/>
              <w:bottom w:val="nil"/>
            </w:tcBorders>
            <w:vAlign w:val="center"/>
          </w:tcPr>
          <w:p>
            <w:pPr>
              <w:jc w:val="center"/>
              <w:rPr>
                <w:rFonts w:ascii="Arial"/>
                <w:sz w:val="21"/>
              </w:rPr>
            </w:pPr>
          </w:p>
        </w:tc>
        <w:tc>
          <w:tcPr>
            <w:tcW w:w="2757" w:type="dxa"/>
            <w:gridSpan w:val="2"/>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盟市“一站式”即时结算覆盖率</w:t>
            </w:r>
          </w:p>
        </w:tc>
        <w:tc>
          <w:tcPr>
            <w:tcW w:w="1173" w:type="dxa"/>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不低于上年</w:t>
            </w:r>
          </w:p>
        </w:tc>
        <w:tc>
          <w:tcPr>
            <w:tcW w:w="1712" w:type="dxa"/>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不低于上年</w:t>
            </w:r>
          </w:p>
        </w:tc>
        <w:tc>
          <w:tcPr>
            <w:tcW w:w="650" w:type="dxa"/>
            <w:vAlign w:val="center"/>
          </w:tcPr>
          <w:p>
            <w:pPr>
              <w:spacing w:line="200" w:lineRule="exact"/>
              <w:jc w:val="center"/>
              <w:rPr>
                <w:rFonts w:hint="default" w:ascii="Arial"/>
                <w:sz w:val="17"/>
                <w:lang w:val="en-US"/>
              </w:rPr>
            </w:pPr>
            <w:r>
              <w:rPr>
                <w:rFonts w:hint="default"/>
                <w:sz w:val="17"/>
                <w:lang w:val="en-US"/>
              </w:rPr>
              <w:t>5</w:t>
            </w:r>
          </w:p>
        </w:tc>
        <w:tc>
          <w:tcPr>
            <w:tcW w:w="738" w:type="dxa"/>
            <w:vAlign w:val="center"/>
          </w:tcPr>
          <w:p>
            <w:pPr>
              <w:spacing w:line="200" w:lineRule="exact"/>
              <w:jc w:val="center"/>
              <w:rPr>
                <w:rFonts w:hint="default" w:ascii="Arial" w:hAnsi="Arial" w:eastAsia="Arial" w:cs="Arial"/>
                <w:snapToGrid w:val="0"/>
                <w:color w:val="000000"/>
                <w:kern w:val="0"/>
                <w:sz w:val="17"/>
                <w:szCs w:val="21"/>
                <w:lang w:val="en-US" w:eastAsia="en-US" w:bidi="ar-SA"/>
              </w:rPr>
            </w:pPr>
            <w:r>
              <w:rPr>
                <w:rFonts w:hint="default"/>
                <w:sz w:val="17"/>
                <w:lang w:val="en-US"/>
              </w:rPr>
              <w:t>5</w:t>
            </w:r>
          </w:p>
        </w:tc>
        <w:tc>
          <w:tcPr>
            <w:tcW w:w="955"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405" w:type="dxa"/>
            <w:vMerge w:val="continue"/>
            <w:tcBorders>
              <w:top w:val="nil"/>
              <w:bottom w:val="nil"/>
            </w:tcBorders>
            <w:textDirection w:val="tbRlV"/>
            <w:vAlign w:val="top"/>
          </w:tcPr>
          <w:p>
            <w:pPr>
              <w:rPr>
                <w:rFonts w:ascii="Arial"/>
                <w:sz w:val="21"/>
              </w:rPr>
            </w:pPr>
          </w:p>
        </w:tc>
        <w:tc>
          <w:tcPr>
            <w:tcW w:w="400" w:type="dxa"/>
            <w:vMerge w:val="continue"/>
            <w:textDirection w:val="tbRlV"/>
            <w:vAlign w:val="center"/>
          </w:tcPr>
          <w:p>
            <w:pPr>
              <w:jc w:val="center"/>
              <w:rPr>
                <w:rFonts w:ascii="Arial"/>
                <w:sz w:val="21"/>
              </w:rPr>
            </w:pPr>
          </w:p>
        </w:tc>
        <w:tc>
          <w:tcPr>
            <w:tcW w:w="819" w:type="dxa"/>
            <w:tcBorders>
              <w:bottom w:val="nil"/>
            </w:tcBorders>
            <w:vAlign w:val="center"/>
          </w:tcPr>
          <w:p>
            <w:pPr>
              <w:pStyle w:val="8"/>
              <w:spacing w:before="234" w:line="220" w:lineRule="auto"/>
              <w:ind w:left="60"/>
              <w:jc w:val="center"/>
              <w:rPr>
                <w:sz w:val="17"/>
                <w:szCs w:val="17"/>
              </w:rPr>
            </w:pPr>
            <w:r>
              <w:rPr>
                <w:spacing w:val="1"/>
                <w:sz w:val="17"/>
                <w:szCs w:val="17"/>
              </w:rPr>
              <w:t>时效指标</w:t>
            </w:r>
          </w:p>
        </w:tc>
        <w:tc>
          <w:tcPr>
            <w:tcW w:w="2757" w:type="dxa"/>
            <w:gridSpan w:val="2"/>
            <w:vAlign w:val="center"/>
          </w:tcPr>
          <w:p>
            <w:pPr>
              <w:spacing w:line="210" w:lineRule="exact"/>
              <w:jc w:val="center"/>
              <w:rPr>
                <w:rFonts w:hint="default" w:ascii="Arial" w:hAnsi="Arial" w:eastAsia="Arial" w:cs="Arial"/>
                <w:snapToGrid w:val="0"/>
                <w:color w:val="000000"/>
                <w:kern w:val="0"/>
                <w:sz w:val="18"/>
                <w:szCs w:val="21"/>
                <w:lang w:val="en-US" w:eastAsia="zh-CN" w:bidi="ar-SA"/>
              </w:rPr>
            </w:pPr>
            <w:r>
              <w:rPr>
                <w:rFonts w:hint="eastAsia" w:ascii="Arial"/>
                <w:sz w:val="18"/>
                <w:lang w:val="en-US" w:eastAsia="zh-CN"/>
              </w:rPr>
              <w:t>项目开展时限</w:t>
            </w:r>
          </w:p>
        </w:tc>
        <w:tc>
          <w:tcPr>
            <w:tcW w:w="1173" w:type="dxa"/>
            <w:vAlign w:val="center"/>
          </w:tcPr>
          <w:p>
            <w:pPr>
              <w:spacing w:line="210" w:lineRule="exact"/>
              <w:jc w:val="center"/>
              <w:rPr>
                <w:rFonts w:hint="default" w:ascii="Arial" w:hAnsi="Arial" w:eastAsia="Arial" w:cs="Arial"/>
                <w:snapToGrid w:val="0"/>
                <w:color w:val="000000"/>
                <w:kern w:val="0"/>
                <w:sz w:val="18"/>
                <w:szCs w:val="21"/>
                <w:lang w:val="en-US" w:eastAsia="zh-CN" w:bidi="ar-SA"/>
              </w:rPr>
            </w:pPr>
            <w:r>
              <w:rPr>
                <w:rFonts w:hint="default" w:ascii="Arial"/>
                <w:sz w:val="18"/>
                <w:lang w:val="en-US" w:eastAsia="zh-CN"/>
              </w:rPr>
              <w:t>2023</w:t>
            </w:r>
            <w:r>
              <w:rPr>
                <w:rFonts w:hint="eastAsia" w:ascii="Arial"/>
                <w:sz w:val="18"/>
                <w:lang w:val="en-US" w:eastAsia="zh-CN"/>
              </w:rPr>
              <w:t>年</w:t>
            </w:r>
          </w:p>
        </w:tc>
        <w:tc>
          <w:tcPr>
            <w:tcW w:w="1712" w:type="dxa"/>
            <w:vAlign w:val="center"/>
          </w:tcPr>
          <w:p>
            <w:pPr>
              <w:spacing w:line="210" w:lineRule="exact"/>
              <w:jc w:val="center"/>
              <w:rPr>
                <w:rFonts w:hint="default" w:ascii="Arial" w:hAnsi="Arial" w:eastAsia="Arial" w:cs="Arial"/>
                <w:snapToGrid w:val="0"/>
                <w:color w:val="000000"/>
                <w:kern w:val="0"/>
                <w:sz w:val="18"/>
                <w:szCs w:val="21"/>
                <w:lang w:val="en-US" w:eastAsia="zh-CN" w:bidi="ar-SA"/>
              </w:rPr>
            </w:pPr>
            <w:r>
              <w:rPr>
                <w:rFonts w:hint="default" w:ascii="Arial"/>
                <w:sz w:val="18"/>
                <w:lang w:val="en-US" w:eastAsia="zh-CN"/>
              </w:rPr>
              <w:t>2023</w:t>
            </w:r>
            <w:r>
              <w:rPr>
                <w:rFonts w:hint="eastAsia" w:ascii="Arial"/>
                <w:sz w:val="18"/>
                <w:lang w:val="en-US" w:eastAsia="zh-CN"/>
              </w:rPr>
              <w:t>年</w:t>
            </w:r>
          </w:p>
        </w:tc>
        <w:tc>
          <w:tcPr>
            <w:tcW w:w="650" w:type="dxa"/>
            <w:vAlign w:val="center"/>
          </w:tcPr>
          <w:p>
            <w:pPr>
              <w:spacing w:line="200" w:lineRule="exact"/>
              <w:jc w:val="center"/>
              <w:rPr>
                <w:rFonts w:hint="default" w:ascii="Arial"/>
                <w:sz w:val="17"/>
                <w:lang w:val="en-US"/>
              </w:rPr>
            </w:pPr>
            <w:r>
              <w:rPr>
                <w:rFonts w:hint="default"/>
                <w:sz w:val="17"/>
                <w:lang w:val="en-US"/>
              </w:rPr>
              <w:t>2</w:t>
            </w:r>
          </w:p>
        </w:tc>
        <w:tc>
          <w:tcPr>
            <w:tcW w:w="738" w:type="dxa"/>
            <w:vAlign w:val="center"/>
          </w:tcPr>
          <w:p>
            <w:pPr>
              <w:spacing w:line="200" w:lineRule="exact"/>
              <w:jc w:val="center"/>
              <w:rPr>
                <w:rFonts w:hint="default" w:ascii="Arial" w:hAnsi="Arial" w:eastAsia="Arial" w:cs="Arial"/>
                <w:snapToGrid w:val="0"/>
                <w:color w:val="000000"/>
                <w:kern w:val="0"/>
                <w:sz w:val="17"/>
                <w:szCs w:val="21"/>
                <w:lang w:val="en-US" w:eastAsia="en-US" w:bidi="ar-SA"/>
              </w:rPr>
            </w:pPr>
            <w:r>
              <w:rPr>
                <w:rFonts w:hint="default"/>
                <w:sz w:val="17"/>
                <w:lang w:val="en-US"/>
              </w:rPr>
              <w:t>2</w:t>
            </w:r>
          </w:p>
        </w:tc>
        <w:tc>
          <w:tcPr>
            <w:tcW w:w="955"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405" w:type="dxa"/>
            <w:vMerge w:val="continue"/>
            <w:tcBorders>
              <w:top w:val="nil"/>
              <w:bottom w:val="nil"/>
            </w:tcBorders>
            <w:textDirection w:val="tbRlV"/>
            <w:vAlign w:val="top"/>
          </w:tcPr>
          <w:p>
            <w:pPr>
              <w:rPr>
                <w:rFonts w:ascii="Arial"/>
                <w:sz w:val="21"/>
              </w:rPr>
            </w:pPr>
          </w:p>
        </w:tc>
        <w:tc>
          <w:tcPr>
            <w:tcW w:w="400" w:type="dxa"/>
            <w:vMerge w:val="continue"/>
            <w:textDirection w:val="tbRlV"/>
            <w:vAlign w:val="center"/>
          </w:tcPr>
          <w:p>
            <w:pPr>
              <w:jc w:val="center"/>
              <w:rPr>
                <w:rFonts w:ascii="Arial"/>
                <w:sz w:val="21"/>
              </w:rPr>
            </w:pPr>
          </w:p>
        </w:tc>
        <w:tc>
          <w:tcPr>
            <w:tcW w:w="819" w:type="dxa"/>
            <w:tcBorders>
              <w:bottom w:val="nil"/>
            </w:tcBorders>
            <w:vAlign w:val="center"/>
          </w:tcPr>
          <w:p>
            <w:pPr>
              <w:pStyle w:val="8"/>
              <w:spacing w:before="243" w:line="219" w:lineRule="auto"/>
              <w:ind w:left="60"/>
              <w:jc w:val="center"/>
              <w:rPr>
                <w:sz w:val="17"/>
                <w:szCs w:val="17"/>
              </w:rPr>
            </w:pPr>
            <w:r>
              <w:rPr>
                <w:spacing w:val="-2"/>
                <w:sz w:val="17"/>
                <w:szCs w:val="17"/>
              </w:rPr>
              <w:t>成本指标</w:t>
            </w:r>
          </w:p>
        </w:tc>
        <w:tc>
          <w:tcPr>
            <w:tcW w:w="2757" w:type="dxa"/>
            <w:gridSpan w:val="2"/>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人均财补</w:t>
            </w:r>
          </w:p>
        </w:tc>
        <w:tc>
          <w:tcPr>
            <w:tcW w:w="1173" w:type="dxa"/>
            <w:vAlign w:val="center"/>
          </w:tcPr>
          <w:p>
            <w:pPr>
              <w:spacing w:line="210" w:lineRule="exact"/>
              <w:jc w:val="center"/>
              <w:rPr>
                <w:rFonts w:hint="default" w:ascii="Arial" w:hAnsi="Arial" w:eastAsia="Arial" w:cs="Arial"/>
                <w:snapToGrid w:val="0"/>
                <w:color w:val="000000"/>
                <w:kern w:val="0"/>
                <w:sz w:val="18"/>
                <w:szCs w:val="21"/>
                <w:lang w:val="en-US" w:eastAsia="zh-CN" w:bidi="ar-SA"/>
              </w:rPr>
            </w:pPr>
            <w:r>
              <w:rPr>
                <w:rFonts w:hint="eastAsia" w:ascii="Arial"/>
                <w:sz w:val="18"/>
                <w:lang w:val="en-US" w:eastAsia="zh-CN"/>
              </w:rPr>
              <w:t>≧</w:t>
            </w:r>
            <w:r>
              <w:rPr>
                <w:rFonts w:hint="default" w:ascii="Arial"/>
                <w:sz w:val="18"/>
                <w:lang w:val="en-US" w:eastAsia="zh-CN"/>
              </w:rPr>
              <w:t>640</w:t>
            </w:r>
            <w:r>
              <w:rPr>
                <w:rFonts w:hint="eastAsia" w:ascii="Arial"/>
                <w:sz w:val="18"/>
                <w:lang w:val="en-US" w:eastAsia="zh-CN"/>
              </w:rPr>
              <w:t>元</w:t>
            </w:r>
          </w:p>
        </w:tc>
        <w:tc>
          <w:tcPr>
            <w:tcW w:w="1712" w:type="dxa"/>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default" w:ascii="Arial"/>
                <w:sz w:val="18"/>
                <w:lang w:val="en-US" w:eastAsia="zh-CN"/>
              </w:rPr>
              <w:t>768</w:t>
            </w:r>
            <w:r>
              <w:rPr>
                <w:rFonts w:hint="eastAsia" w:ascii="Arial"/>
                <w:sz w:val="18"/>
                <w:lang w:val="en-US" w:eastAsia="zh-CN"/>
              </w:rPr>
              <w:t>元</w:t>
            </w:r>
          </w:p>
        </w:tc>
        <w:tc>
          <w:tcPr>
            <w:tcW w:w="650" w:type="dxa"/>
            <w:vAlign w:val="center"/>
          </w:tcPr>
          <w:p>
            <w:pPr>
              <w:spacing w:line="200" w:lineRule="exact"/>
              <w:jc w:val="center"/>
              <w:rPr>
                <w:rFonts w:hint="default" w:ascii="Arial"/>
                <w:sz w:val="17"/>
                <w:lang w:val="en-US"/>
              </w:rPr>
            </w:pPr>
            <w:r>
              <w:rPr>
                <w:rFonts w:hint="default"/>
                <w:sz w:val="17"/>
                <w:lang w:val="en-US"/>
              </w:rPr>
              <w:t>3</w:t>
            </w:r>
          </w:p>
        </w:tc>
        <w:tc>
          <w:tcPr>
            <w:tcW w:w="738" w:type="dxa"/>
            <w:vAlign w:val="center"/>
          </w:tcPr>
          <w:p>
            <w:pPr>
              <w:spacing w:line="200" w:lineRule="exact"/>
              <w:jc w:val="center"/>
              <w:rPr>
                <w:rFonts w:hint="default" w:ascii="Arial" w:hAnsi="Arial" w:eastAsia="Arial" w:cs="Arial"/>
                <w:snapToGrid w:val="0"/>
                <w:color w:val="000000"/>
                <w:kern w:val="0"/>
                <w:sz w:val="17"/>
                <w:szCs w:val="21"/>
                <w:lang w:val="en-US" w:eastAsia="en-US" w:bidi="ar-SA"/>
              </w:rPr>
            </w:pPr>
            <w:r>
              <w:rPr>
                <w:rFonts w:hint="default"/>
                <w:sz w:val="17"/>
                <w:lang w:val="en-US"/>
              </w:rPr>
              <w:t>3</w:t>
            </w:r>
          </w:p>
        </w:tc>
        <w:tc>
          <w:tcPr>
            <w:tcW w:w="955"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trPr>
        <w:tc>
          <w:tcPr>
            <w:tcW w:w="405" w:type="dxa"/>
            <w:vMerge w:val="continue"/>
            <w:tcBorders>
              <w:top w:val="nil"/>
              <w:bottom w:val="nil"/>
            </w:tcBorders>
            <w:textDirection w:val="tbRlV"/>
            <w:vAlign w:val="top"/>
          </w:tcPr>
          <w:p>
            <w:pPr>
              <w:rPr>
                <w:rFonts w:ascii="Arial"/>
                <w:sz w:val="21"/>
              </w:rPr>
            </w:pPr>
          </w:p>
        </w:tc>
        <w:tc>
          <w:tcPr>
            <w:tcW w:w="400" w:type="dxa"/>
            <w:vMerge w:val="restart"/>
            <w:textDirection w:val="tbRlV"/>
            <w:vAlign w:val="center"/>
          </w:tcPr>
          <w:p>
            <w:pPr>
              <w:jc w:val="center"/>
              <w:rPr>
                <w:rFonts w:hint="eastAsia" w:ascii="Arial" w:eastAsia="宋体"/>
                <w:sz w:val="21"/>
                <w:lang w:val="en-US" w:eastAsia="zh-CN"/>
              </w:rPr>
            </w:pPr>
            <w:r>
              <w:rPr>
                <w:rFonts w:hint="eastAsia"/>
                <w:sz w:val="21"/>
                <w:lang w:val="en-US" w:eastAsia="zh-CN"/>
              </w:rPr>
              <w:t>效益指标</w:t>
            </w:r>
          </w:p>
        </w:tc>
        <w:tc>
          <w:tcPr>
            <w:tcW w:w="819" w:type="dxa"/>
            <w:vMerge w:val="restart"/>
            <w:tcBorders>
              <w:bottom w:val="nil"/>
            </w:tcBorders>
            <w:vAlign w:val="center"/>
          </w:tcPr>
          <w:p>
            <w:pPr>
              <w:pStyle w:val="8"/>
              <w:spacing w:before="135" w:line="219" w:lineRule="auto"/>
              <w:ind w:left="229" w:right="76" w:hanging="169"/>
              <w:jc w:val="center"/>
              <w:rPr>
                <w:sz w:val="17"/>
                <w:szCs w:val="17"/>
              </w:rPr>
            </w:pPr>
            <w:r>
              <w:rPr>
                <w:spacing w:val="-2"/>
                <w:sz w:val="17"/>
                <w:szCs w:val="17"/>
              </w:rPr>
              <w:t>社会效益</w:t>
            </w:r>
            <w:r>
              <w:rPr>
                <w:sz w:val="17"/>
                <w:szCs w:val="17"/>
              </w:rPr>
              <w:t xml:space="preserve"> </w:t>
            </w:r>
            <w:r>
              <w:rPr>
                <w:spacing w:val="-3"/>
                <w:sz w:val="17"/>
                <w:szCs w:val="17"/>
              </w:rPr>
              <w:t>指标</w:t>
            </w:r>
          </w:p>
        </w:tc>
        <w:tc>
          <w:tcPr>
            <w:tcW w:w="2757" w:type="dxa"/>
            <w:gridSpan w:val="2"/>
            <w:vAlign w:val="center"/>
          </w:tcPr>
          <w:p>
            <w:pPr>
              <w:spacing w:line="220" w:lineRule="exact"/>
              <w:jc w:val="center"/>
              <w:rPr>
                <w:rFonts w:ascii="Arial" w:hAnsi="Arial" w:eastAsia="Arial" w:cs="Arial"/>
                <w:snapToGrid w:val="0"/>
                <w:color w:val="000000"/>
                <w:kern w:val="0"/>
                <w:sz w:val="19"/>
                <w:szCs w:val="21"/>
                <w:lang w:val="en-US" w:eastAsia="en-US" w:bidi="ar-SA"/>
              </w:rPr>
            </w:pPr>
            <w:r>
              <w:rPr>
                <w:rFonts w:hint="eastAsia" w:ascii="Arial"/>
                <w:sz w:val="19"/>
              </w:rPr>
              <w:t>城乡居民政策知晓率</w:t>
            </w:r>
          </w:p>
        </w:tc>
        <w:tc>
          <w:tcPr>
            <w:tcW w:w="1173" w:type="dxa"/>
            <w:vAlign w:val="center"/>
          </w:tcPr>
          <w:p>
            <w:pPr>
              <w:tabs>
                <w:tab w:val="left" w:pos="458"/>
              </w:tabs>
              <w:spacing w:line="220" w:lineRule="exact"/>
              <w:jc w:val="left"/>
              <w:rPr>
                <w:rFonts w:ascii="Arial" w:hAnsi="Arial" w:eastAsia="Arial" w:cs="Arial"/>
                <w:snapToGrid w:val="0"/>
                <w:color w:val="000000"/>
                <w:kern w:val="0"/>
                <w:sz w:val="19"/>
                <w:szCs w:val="21"/>
                <w:lang w:val="en-US" w:eastAsia="en-US" w:bidi="ar-SA"/>
              </w:rPr>
            </w:pPr>
            <w:r>
              <w:rPr>
                <w:sz w:val="19"/>
              </w:rPr>
              <w:tab/>
            </w:r>
            <w:r>
              <w:rPr>
                <w:rFonts w:hint="eastAsia"/>
                <w:sz w:val="19"/>
              </w:rPr>
              <w:t>≧80%</w:t>
            </w:r>
          </w:p>
        </w:tc>
        <w:tc>
          <w:tcPr>
            <w:tcW w:w="1712" w:type="dxa"/>
            <w:vAlign w:val="center"/>
          </w:tcPr>
          <w:p>
            <w:pPr>
              <w:spacing w:line="220" w:lineRule="exact"/>
              <w:jc w:val="center"/>
              <w:rPr>
                <w:rFonts w:ascii="Arial" w:hAnsi="Arial" w:eastAsia="Arial" w:cs="Arial"/>
                <w:snapToGrid w:val="0"/>
                <w:color w:val="000000"/>
                <w:kern w:val="0"/>
                <w:sz w:val="19"/>
                <w:szCs w:val="21"/>
                <w:lang w:val="en-US" w:eastAsia="en-US" w:bidi="ar-SA"/>
              </w:rPr>
            </w:pPr>
            <w:r>
              <w:rPr>
                <w:rFonts w:hint="eastAsia" w:ascii="Arial"/>
                <w:sz w:val="18"/>
                <w:lang w:val="en-US" w:eastAsia="zh-CN"/>
              </w:rPr>
              <w:t>通过政策宣传，保障城乡居民工作的持续开展和顺利进行，参保人权对政策知晓率达到80%以上</w:t>
            </w:r>
          </w:p>
        </w:tc>
        <w:tc>
          <w:tcPr>
            <w:tcW w:w="650" w:type="dxa"/>
            <w:vAlign w:val="center"/>
          </w:tcPr>
          <w:p>
            <w:pPr>
              <w:spacing w:line="190" w:lineRule="exact"/>
              <w:jc w:val="center"/>
              <w:rPr>
                <w:rFonts w:hint="default" w:ascii="Arial"/>
                <w:sz w:val="16"/>
                <w:lang w:val="en-US"/>
              </w:rPr>
            </w:pPr>
            <w:r>
              <w:rPr>
                <w:rFonts w:hint="default"/>
                <w:sz w:val="16"/>
                <w:lang w:val="en-US"/>
              </w:rPr>
              <w:t>3</w:t>
            </w:r>
          </w:p>
        </w:tc>
        <w:tc>
          <w:tcPr>
            <w:tcW w:w="738" w:type="dxa"/>
            <w:vAlign w:val="center"/>
          </w:tcPr>
          <w:p>
            <w:pPr>
              <w:spacing w:line="190" w:lineRule="exact"/>
              <w:jc w:val="center"/>
              <w:rPr>
                <w:rFonts w:hint="default" w:ascii="Arial" w:hAnsi="Arial" w:eastAsia="Arial" w:cs="Arial"/>
                <w:snapToGrid w:val="0"/>
                <w:color w:val="000000"/>
                <w:kern w:val="0"/>
                <w:sz w:val="16"/>
                <w:szCs w:val="21"/>
                <w:lang w:val="en-US" w:eastAsia="en-US" w:bidi="ar-SA"/>
              </w:rPr>
            </w:pPr>
            <w:r>
              <w:rPr>
                <w:rFonts w:hint="default"/>
                <w:sz w:val="16"/>
                <w:lang w:val="en-US"/>
              </w:rPr>
              <w:t>3</w:t>
            </w:r>
          </w:p>
        </w:tc>
        <w:tc>
          <w:tcPr>
            <w:tcW w:w="955" w:type="dxa"/>
            <w:vAlign w:val="top"/>
          </w:tcPr>
          <w:p>
            <w:pPr>
              <w:spacing w:line="190"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trPr>
        <w:tc>
          <w:tcPr>
            <w:tcW w:w="405" w:type="dxa"/>
            <w:vMerge w:val="continue"/>
            <w:tcBorders>
              <w:top w:val="nil"/>
              <w:bottom w:val="nil"/>
            </w:tcBorders>
            <w:textDirection w:val="tbRlV"/>
            <w:vAlign w:val="top"/>
          </w:tcPr>
          <w:p>
            <w:pPr>
              <w:rPr>
                <w:rFonts w:ascii="Arial"/>
                <w:sz w:val="21"/>
              </w:rPr>
            </w:pPr>
          </w:p>
        </w:tc>
        <w:tc>
          <w:tcPr>
            <w:tcW w:w="400" w:type="dxa"/>
            <w:vMerge w:val="continue"/>
            <w:textDirection w:val="tbRlV"/>
            <w:vAlign w:val="top"/>
          </w:tcPr>
          <w:p>
            <w:pPr>
              <w:rPr>
                <w:rFonts w:ascii="Arial"/>
                <w:sz w:val="21"/>
              </w:rPr>
            </w:pPr>
          </w:p>
        </w:tc>
        <w:tc>
          <w:tcPr>
            <w:tcW w:w="819" w:type="dxa"/>
            <w:vMerge w:val="continue"/>
            <w:tcBorders>
              <w:top w:val="nil"/>
              <w:bottom w:val="nil"/>
            </w:tcBorders>
            <w:vAlign w:val="top"/>
          </w:tcPr>
          <w:p>
            <w:pPr>
              <w:rPr>
                <w:rFonts w:ascii="Arial"/>
                <w:sz w:val="21"/>
              </w:rPr>
            </w:pPr>
          </w:p>
        </w:tc>
        <w:tc>
          <w:tcPr>
            <w:tcW w:w="2757" w:type="dxa"/>
            <w:gridSpan w:val="2"/>
            <w:vAlign w:val="center"/>
          </w:tcPr>
          <w:p>
            <w:pPr>
              <w:spacing w:line="200" w:lineRule="exact"/>
              <w:jc w:val="center"/>
              <w:rPr>
                <w:rFonts w:ascii="Arial" w:hAnsi="Arial" w:eastAsia="Arial" w:cs="Arial"/>
                <w:snapToGrid w:val="0"/>
                <w:color w:val="000000"/>
                <w:kern w:val="0"/>
                <w:sz w:val="17"/>
                <w:szCs w:val="21"/>
                <w:lang w:val="en-US" w:eastAsia="en-US" w:bidi="ar-SA"/>
              </w:rPr>
            </w:pPr>
            <w:r>
              <w:rPr>
                <w:rFonts w:hint="eastAsia" w:ascii="Arial"/>
                <w:sz w:val="17"/>
              </w:rPr>
              <w:t>参保人群看病就医方便程度</w:t>
            </w:r>
          </w:p>
        </w:tc>
        <w:tc>
          <w:tcPr>
            <w:tcW w:w="1173" w:type="dxa"/>
            <w:vAlign w:val="center"/>
          </w:tcPr>
          <w:p>
            <w:pPr>
              <w:spacing w:line="200" w:lineRule="exact"/>
              <w:jc w:val="center"/>
              <w:rPr>
                <w:rFonts w:ascii="Arial" w:hAnsi="Arial" w:eastAsia="Arial" w:cs="Arial"/>
                <w:snapToGrid w:val="0"/>
                <w:color w:val="000000"/>
                <w:kern w:val="0"/>
                <w:sz w:val="17"/>
                <w:szCs w:val="21"/>
                <w:lang w:val="en-US" w:eastAsia="en-US" w:bidi="ar-SA"/>
              </w:rPr>
            </w:pPr>
            <w:r>
              <w:rPr>
                <w:rFonts w:hint="eastAsia" w:ascii="Arial"/>
                <w:sz w:val="17"/>
              </w:rPr>
              <w:t>明显提高</w:t>
            </w:r>
          </w:p>
        </w:tc>
        <w:tc>
          <w:tcPr>
            <w:tcW w:w="1712" w:type="dxa"/>
            <w:vAlign w:val="center"/>
          </w:tcPr>
          <w:p>
            <w:pPr>
              <w:spacing w:line="200" w:lineRule="exact"/>
              <w:jc w:val="center"/>
              <w:rPr>
                <w:rFonts w:ascii="Arial" w:hAnsi="Arial" w:eastAsia="Arial" w:cs="Arial"/>
                <w:snapToGrid w:val="0"/>
                <w:color w:val="000000"/>
                <w:kern w:val="0"/>
                <w:sz w:val="17"/>
                <w:szCs w:val="21"/>
                <w:lang w:val="en-US" w:eastAsia="en-US" w:bidi="ar-SA"/>
              </w:rPr>
            </w:pPr>
            <w:r>
              <w:rPr>
                <w:rFonts w:hint="eastAsia" w:ascii="Arial"/>
                <w:sz w:val="18"/>
                <w:lang w:val="en-US" w:eastAsia="zh-CN"/>
              </w:rPr>
              <w:t>通过落实基本医保、大病保险、医疗救助“一站式”结算措施，</w:t>
            </w:r>
            <w:r>
              <w:rPr>
                <w:rFonts w:hint="eastAsia" w:ascii="Arial"/>
                <w:sz w:val="17"/>
              </w:rPr>
              <w:t>参保</w:t>
            </w:r>
            <w:r>
              <w:rPr>
                <w:rFonts w:hint="eastAsia" w:ascii="Arial"/>
                <w:sz w:val="18"/>
                <w:lang w:val="en-US" w:eastAsia="zh-CN"/>
              </w:rPr>
              <w:t>群众就医方便程度明显提高</w:t>
            </w:r>
          </w:p>
        </w:tc>
        <w:tc>
          <w:tcPr>
            <w:tcW w:w="650" w:type="dxa"/>
            <w:vAlign w:val="center"/>
          </w:tcPr>
          <w:p>
            <w:pPr>
              <w:spacing w:line="189" w:lineRule="exact"/>
              <w:jc w:val="center"/>
              <w:rPr>
                <w:rFonts w:hint="default" w:ascii="Arial"/>
                <w:sz w:val="16"/>
                <w:lang w:val="en-US"/>
              </w:rPr>
            </w:pPr>
            <w:r>
              <w:rPr>
                <w:rFonts w:hint="default"/>
                <w:sz w:val="16"/>
                <w:lang w:val="en-US"/>
              </w:rPr>
              <w:t>3</w:t>
            </w:r>
          </w:p>
        </w:tc>
        <w:tc>
          <w:tcPr>
            <w:tcW w:w="738" w:type="dxa"/>
            <w:vAlign w:val="center"/>
          </w:tcPr>
          <w:p>
            <w:pPr>
              <w:spacing w:line="189" w:lineRule="exact"/>
              <w:jc w:val="center"/>
              <w:rPr>
                <w:rFonts w:hint="default" w:ascii="Arial" w:hAnsi="Arial" w:eastAsia="Arial" w:cs="Arial"/>
                <w:snapToGrid w:val="0"/>
                <w:color w:val="000000"/>
                <w:kern w:val="0"/>
                <w:sz w:val="16"/>
                <w:szCs w:val="21"/>
                <w:lang w:val="en-US" w:eastAsia="en-US" w:bidi="ar-SA"/>
              </w:rPr>
            </w:pPr>
            <w:r>
              <w:rPr>
                <w:rFonts w:hint="default"/>
                <w:sz w:val="16"/>
                <w:lang w:val="en-US"/>
              </w:rPr>
              <w:t>3</w:t>
            </w:r>
          </w:p>
        </w:tc>
        <w:tc>
          <w:tcPr>
            <w:tcW w:w="955" w:type="dxa"/>
            <w:vAlign w:val="top"/>
          </w:tcPr>
          <w:p>
            <w:pPr>
              <w:spacing w:line="189"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405" w:type="dxa"/>
            <w:vMerge w:val="continue"/>
            <w:tcBorders>
              <w:top w:val="nil"/>
              <w:bottom w:val="nil"/>
            </w:tcBorders>
            <w:textDirection w:val="tbRlV"/>
            <w:vAlign w:val="top"/>
          </w:tcPr>
          <w:p>
            <w:pPr>
              <w:rPr>
                <w:rFonts w:ascii="Arial"/>
                <w:sz w:val="21"/>
              </w:rPr>
            </w:pPr>
          </w:p>
        </w:tc>
        <w:tc>
          <w:tcPr>
            <w:tcW w:w="400" w:type="dxa"/>
            <w:vMerge w:val="continue"/>
            <w:textDirection w:val="tbRlV"/>
            <w:vAlign w:val="top"/>
          </w:tcPr>
          <w:p>
            <w:pPr>
              <w:rPr>
                <w:rFonts w:ascii="Arial"/>
                <w:sz w:val="21"/>
              </w:rPr>
            </w:pPr>
          </w:p>
        </w:tc>
        <w:tc>
          <w:tcPr>
            <w:tcW w:w="819" w:type="dxa"/>
            <w:vMerge w:val="continue"/>
            <w:tcBorders>
              <w:top w:val="nil"/>
            </w:tcBorders>
            <w:vAlign w:val="top"/>
          </w:tcPr>
          <w:p>
            <w:pPr>
              <w:rPr>
                <w:rFonts w:ascii="Arial"/>
                <w:sz w:val="21"/>
              </w:rPr>
            </w:pPr>
          </w:p>
        </w:tc>
        <w:tc>
          <w:tcPr>
            <w:tcW w:w="2757" w:type="dxa"/>
            <w:gridSpan w:val="2"/>
            <w:vAlign w:val="center"/>
          </w:tcPr>
          <w:p>
            <w:pPr>
              <w:spacing w:line="210" w:lineRule="exact"/>
              <w:jc w:val="center"/>
              <w:rPr>
                <w:rFonts w:ascii="Arial" w:hAnsi="Arial" w:eastAsia="Arial" w:cs="Arial"/>
                <w:snapToGrid w:val="0"/>
                <w:color w:val="000000"/>
                <w:kern w:val="0"/>
                <w:sz w:val="18"/>
                <w:szCs w:val="21"/>
                <w:lang w:val="en-US" w:eastAsia="en-US" w:bidi="ar-SA"/>
              </w:rPr>
            </w:pPr>
            <w:r>
              <w:rPr>
                <w:rFonts w:hint="eastAsia" w:ascii="Arial"/>
                <w:sz w:val="18"/>
              </w:rPr>
              <w:t>参保人群医疗费用负担减轻程度</w:t>
            </w:r>
          </w:p>
        </w:tc>
        <w:tc>
          <w:tcPr>
            <w:tcW w:w="1173" w:type="dxa"/>
            <w:vAlign w:val="center"/>
          </w:tcPr>
          <w:p>
            <w:pPr>
              <w:spacing w:line="210" w:lineRule="exact"/>
              <w:jc w:val="center"/>
              <w:rPr>
                <w:rFonts w:hint="default" w:ascii="Arial" w:hAnsi="Arial" w:eastAsia="宋体" w:cs="Arial"/>
                <w:snapToGrid w:val="0"/>
                <w:color w:val="000000"/>
                <w:kern w:val="0"/>
                <w:sz w:val="18"/>
                <w:szCs w:val="21"/>
                <w:lang w:val="en-US" w:eastAsia="zh-CN" w:bidi="ar-SA"/>
              </w:rPr>
            </w:pPr>
            <w:r>
              <w:rPr>
                <w:rFonts w:hint="eastAsia"/>
                <w:sz w:val="18"/>
                <w:lang w:val="en-US" w:eastAsia="zh-CN"/>
              </w:rPr>
              <w:t>有效缓解</w:t>
            </w:r>
          </w:p>
        </w:tc>
        <w:tc>
          <w:tcPr>
            <w:tcW w:w="1712" w:type="dxa"/>
            <w:vAlign w:val="center"/>
          </w:tcPr>
          <w:p>
            <w:pPr>
              <w:rPr>
                <w:rFonts w:hint="eastAsia" w:ascii="Arial"/>
                <w:sz w:val="18"/>
                <w:lang w:val="en-US" w:eastAsia="zh-CN"/>
              </w:rPr>
            </w:pPr>
            <w:r>
              <w:rPr>
                <w:rFonts w:hint="eastAsia" w:ascii="Arial"/>
                <w:sz w:val="18"/>
                <w:lang w:val="en-US" w:eastAsia="zh-CN"/>
              </w:rPr>
              <w:t>通过落实基本医保、大病保险、医疗救助“一站式”结算措施，参保群众就医负担得到有效缓解。</w:t>
            </w:r>
          </w:p>
          <w:p>
            <w:pPr>
              <w:spacing w:line="210" w:lineRule="exact"/>
              <w:jc w:val="center"/>
              <w:rPr>
                <w:rFonts w:ascii="Arial" w:hAnsi="Arial" w:eastAsia="Arial" w:cs="Arial"/>
                <w:snapToGrid w:val="0"/>
                <w:color w:val="000000"/>
                <w:kern w:val="0"/>
                <w:sz w:val="18"/>
                <w:szCs w:val="21"/>
                <w:lang w:val="en-US" w:eastAsia="en-US" w:bidi="ar-SA"/>
              </w:rPr>
            </w:pPr>
          </w:p>
        </w:tc>
        <w:tc>
          <w:tcPr>
            <w:tcW w:w="650" w:type="dxa"/>
            <w:vAlign w:val="center"/>
          </w:tcPr>
          <w:p>
            <w:pPr>
              <w:spacing w:line="200" w:lineRule="exact"/>
              <w:jc w:val="center"/>
              <w:rPr>
                <w:rFonts w:hint="default" w:ascii="Arial"/>
                <w:sz w:val="17"/>
                <w:lang w:val="en-US"/>
              </w:rPr>
            </w:pPr>
            <w:r>
              <w:rPr>
                <w:rFonts w:hint="default"/>
                <w:sz w:val="17"/>
                <w:lang w:val="en-US"/>
              </w:rPr>
              <w:t>3</w:t>
            </w:r>
          </w:p>
        </w:tc>
        <w:tc>
          <w:tcPr>
            <w:tcW w:w="738" w:type="dxa"/>
            <w:vAlign w:val="center"/>
          </w:tcPr>
          <w:p>
            <w:pPr>
              <w:spacing w:line="200" w:lineRule="exact"/>
              <w:jc w:val="center"/>
              <w:rPr>
                <w:rFonts w:hint="default" w:ascii="Arial" w:hAnsi="Arial" w:eastAsia="Arial" w:cs="Arial"/>
                <w:snapToGrid w:val="0"/>
                <w:color w:val="000000"/>
                <w:kern w:val="0"/>
                <w:sz w:val="17"/>
                <w:szCs w:val="21"/>
                <w:lang w:val="en-US" w:eastAsia="en-US" w:bidi="ar-SA"/>
              </w:rPr>
            </w:pPr>
            <w:r>
              <w:rPr>
                <w:rFonts w:hint="default"/>
                <w:sz w:val="17"/>
                <w:lang w:val="en-US"/>
              </w:rPr>
              <w:t>3</w:t>
            </w:r>
          </w:p>
        </w:tc>
        <w:tc>
          <w:tcPr>
            <w:tcW w:w="955"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05" w:type="dxa"/>
            <w:vMerge w:val="continue"/>
            <w:tcBorders>
              <w:top w:val="nil"/>
              <w:bottom w:val="nil"/>
            </w:tcBorders>
            <w:textDirection w:val="tbRlV"/>
            <w:vAlign w:val="top"/>
          </w:tcPr>
          <w:p>
            <w:pPr>
              <w:rPr>
                <w:rFonts w:ascii="Arial"/>
                <w:sz w:val="21"/>
              </w:rPr>
            </w:pPr>
          </w:p>
        </w:tc>
        <w:tc>
          <w:tcPr>
            <w:tcW w:w="400" w:type="dxa"/>
            <w:vMerge w:val="continue"/>
            <w:textDirection w:val="tbRlV"/>
            <w:vAlign w:val="top"/>
          </w:tcPr>
          <w:p>
            <w:pPr>
              <w:rPr>
                <w:rFonts w:ascii="Arial"/>
                <w:sz w:val="21"/>
              </w:rPr>
            </w:pPr>
          </w:p>
        </w:tc>
        <w:tc>
          <w:tcPr>
            <w:tcW w:w="819" w:type="dxa"/>
            <w:vMerge w:val="restart"/>
            <w:tcBorders>
              <w:bottom w:val="nil"/>
            </w:tcBorders>
            <w:vAlign w:val="top"/>
          </w:tcPr>
          <w:p>
            <w:pPr>
              <w:pStyle w:val="8"/>
              <w:spacing w:before="136" w:line="208" w:lineRule="auto"/>
              <w:ind w:left="139" w:right="76" w:hanging="79"/>
              <w:rPr>
                <w:sz w:val="17"/>
                <w:szCs w:val="17"/>
              </w:rPr>
            </w:pPr>
            <w:r>
              <w:rPr>
                <w:spacing w:val="-2"/>
                <w:sz w:val="17"/>
                <w:szCs w:val="17"/>
              </w:rPr>
              <w:t>可持续影</w:t>
            </w:r>
            <w:r>
              <w:rPr>
                <w:sz w:val="17"/>
                <w:szCs w:val="17"/>
              </w:rPr>
              <w:t xml:space="preserve"> </w:t>
            </w:r>
            <w:r>
              <w:rPr>
                <w:spacing w:val="2"/>
                <w:sz w:val="17"/>
                <w:szCs w:val="17"/>
              </w:rPr>
              <w:t>响指标</w:t>
            </w:r>
          </w:p>
        </w:tc>
        <w:tc>
          <w:tcPr>
            <w:tcW w:w="2757" w:type="dxa"/>
            <w:gridSpan w:val="2"/>
            <w:vAlign w:val="center"/>
          </w:tcPr>
          <w:p>
            <w:pPr>
              <w:spacing w:line="200" w:lineRule="exact"/>
              <w:jc w:val="center"/>
              <w:rPr>
                <w:rFonts w:ascii="Arial" w:hAnsi="Arial" w:eastAsia="Arial" w:cs="Arial"/>
                <w:snapToGrid w:val="0"/>
                <w:color w:val="000000"/>
                <w:kern w:val="0"/>
                <w:sz w:val="17"/>
                <w:szCs w:val="21"/>
                <w:lang w:val="en-US" w:eastAsia="en-US" w:bidi="ar-SA"/>
              </w:rPr>
            </w:pPr>
            <w:r>
              <w:rPr>
                <w:rFonts w:hint="eastAsia" w:ascii="Arial"/>
                <w:sz w:val="18"/>
              </w:rPr>
              <w:t>基金保障能力稳健可持续</w:t>
            </w:r>
          </w:p>
        </w:tc>
        <w:tc>
          <w:tcPr>
            <w:tcW w:w="1173" w:type="dxa"/>
            <w:vAlign w:val="center"/>
          </w:tcPr>
          <w:p>
            <w:pPr>
              <w:spacing w:line="200" w:lineRule="exact"/>
              <w:jc w:val="center"/>
              <w:rPr>
                <w:rFonts w:ascii="Arial" w:hAnsi="Arial" w:eastAsia="Arial" w:cs="Arial"/>
                <w:snapToGrid w:val="0"/>
                <w:color w:val="000000"/>
                <w:kern w:val="0"/>
                <w:sz w:val="17"/>
                <w:szCs w:val="21"/>
                <w:lang w:val="en-US" w:eastAsia="en-US" w:bidi="ar-SA"/>
              </w:rPr>
            </w:pPr>
            <w:r>
              <w:rPr>
                <w:rFonts w:hint="eastAsia" w:ascii="Arial"/>
                <w:sz w:val="18"/>
              </w:rPr>
              <w:t>基金保障能力稳健可持续</w:t>
            </w:r>
          </w:p>
        </w:tc>
        <w:tc>
          <w:tcPr>
            <w:tcW w:w="1712" w:type="dxa"/>
            <w:vAlign w:val="center"/>
          </w:tcPr>
          <w:p>
            <w:pPr>
              <w:spacing w:line="200" w:lineRule="exact"/>
              <w:jc w:val="center"/>
              <w:rPr>
                <w:rFonts w:ascii="Arial" w:hAnsi="Arial" w:eastAsia="Arial" w:cs="Arial"/>
                <w:snapToGrid w:val="0"/>
                <w:color w:val="000000"/>
                <w:kern w:val="0"/>
                <w:sz w:val="17"/>
                <w:szCs w:val="21"/>
                <w:lang w:val="en-US" w:eastAsia="en-US" w:bidi="ar-SA"/>
              </w:rPr>
            </w:pPr>
            <w:r>
              <w:rPr>
                <w:rFonts w:hint="eastAsia" w:ascii="Arial"/>
                <w:sz w:val="18"/>
                <w:lang w:val="en-US" w:eastAsia="zh-CN"/>
              </w:rPr>
              <w:t>城乡居民基本医疗保险基金静态可支付11个月，</w:t>
            </w:r>
            <w:r>
              <w:rPr>
                <w:rFonts w:hint="eastAsia" w:ascii="Arial"/>
                <w:sz w:val="18"/>
              </w:rPr>
              <w:t>基金保障能力稳健可持续</w:t>
            </w:r>
            <w:r>
              <w:rPr>
                <w:rFonts w:hint="eastAsia" w:ascii="仿宋" w:hAnsi="仿宋" w:eastAsia="仿宋" w:cs="仿宋"/>
                <w:sz w:val="32"/>
                <w:szCs w:val="32"/>
              </w:rPr>
              <w:t>。</w:t>
            </w:r>
          </w:p>
        </w:tc>
        <w:tc>
          <w:tcPr>
            <w:tcW w:w="650" w:type="dxa"/>
            <w:vAlign w:val="center"/>
          </w:tcPr>
          <w:p>
            <w:pPr>
              <w:spacing w:line="190" w:lineRule="exact"/>
              <w:jc w:val="center"/>
              <w:rPr>
                <w:rFonts w:hint="default" w:ascii="Arial"/>
                <w:sz w:val="16"/>
                <w:lang w:val="en-US"/>
              </w:rPr>
            </w:pPr>
            <w:r>
              <w:rPr>
                <w:rFonts w:hint="default"/>
                <w:sz w:val="16"/>
                <w:lang w:val="en-US"/>
              </w:rPr>
              <w:t>3</w:t>
            </w:r>
          </w:p>
        </w:tc>
        <w:tc>
          <w:tcPr>
            <w:tcW w:w="738" w:type="dxa"/>
            <w:vAlign w:val="center"/>
          </w:tcPr>
          <w:p>
            <w:pPr>
              <w:spacing w:line="190" w:lineRule="exact"/>
              <w:jc w:val="center"/>
              <w:rPr>
                <w:rFonts w:hint="default" w:ascii="Arial" w:hAnsi="Arial" w:eastAsia="Arial" w:cs="Arial"/>
                <w:snapToGrid w:val="0"/>
                <w:color w:val="000000"/>
                <w:kern w:val="0"/>
                <w:sz w:val="16"/>
                <w:szCs w:val="21"/>
                <w:lang w:val="en-US" w:eastAsia="en-US" w:bidi="ar-SA"/>
              </w:rPr>
            </w:pPr>
            <w:r>
              <w:rPr>
                <w:rFonts w:hint="default"/>
                <w:sz w:val="16"/>
                <w:lang w:val="en-US"/>
              </w:rPr>
              <w:t>3</w:t>
            </w:r>
          </w:p>
        </w:tc>
        <w:tc>
          <w:tcPr>
            <w:tcW w:w="955" w:type="dxa"/>
            <w:vAlign w:val="top"/>
          </w:tcPr>
          <w:p>
            <w:pPr>
              <w:spacing w:line="190"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405" w:type="dxa"/>
            <w:vMerge w:val="continue"/>
            <w:tcBorders>
              <w:top w:val="nil"/>
              <w:bottom w:val="nil"/>
            </w:tcBorders>
            <w:textDirection w:val="tbRlV"/>
            <w:vAlign w:val="top"/>
          </w:tcPr>
          <w:p>
            <w:pPr>
              <w:rPr>
                <w:rFonts w:ascii="Arial"/>
                <w:sz w:val="21"/>
              </w:rPr>
            </w:pPr>
          </w:p>
        </w:tc>
        <w:tc>
          <w:tcPr>
            <w:tcW w:w="400" w:type="dxa"/>
            <w:vMerge w:val="continue"/>
            <w:tcBorders>
              <w:bottom w:val="nil"/>
            </w:tcBorders>
            <w:textDirection w:val="tbRlV"/>
            <w:vAlign w:val="top"/>
          </w:tcPr>
          <w:p>
            <w:pPr>
              <w:rPr>
                <w:rFonts w:ascii="Arial"/>
                <w:sz w:val="21"/>
              </w:rPr>
            </w:pPr>
          </w:p>
        </w:tc>
        <w:tc>
          <w:tcPr>
            <w:tcW w:w="819" w:type="dxa"/>
            <w:vMerge w:val="continue"/>
            <w:tcBorders>
              <w:top w:val="nil"/>
              <w:bottom w:val="nil"/>
            </w:tcBorders>
            <w:vAlign w:val="top"/>
          </w:tcPr>
          <w:p>
            <w:pPr>
              <w:rPr>
                <w:rFonts w:ascii="Arial"/>
                <w:sz w:val="21"/>
              </w:rPr>
            </w:pPr>
          </w:p>
        </w:tc>
        <w:tc>
          <w:tcPr>
            <w:tcW w:w="2757" w:type="dxa"/>
            <w:gridSpan w:val="2"/>
            <w:vAlign w:val="center"/>
          </w:tcPr>
          <w:p>
            <w:pPr>
              <w:spacing w:line="210" w:lineRule="exact"/>
              <w:jc w:val="center"/>
              <w:rPr>
                <w:rFonts w:ascii="Arial" w:hAnsi="Arial" w:eastAsia="Arial" w:cs="Arial"/>
                <w:snapToGrid w:val="0"/>
                <w:color w:val="000000"/>
                <w:kern w:val="0"/>
                <w:sz w:val="18"/>
                <w:szCs w:val="21"/>
                <w:lang w:val="en-US" w:eastAsia="en-US" w:bidi="ar-SA"/>
              </w:rPr>
            </w:pPr>
            <w:r>
              <w:rPr>
                <w:rFonts w:hint="eastAsia" w:ascii="Arial"/>
                <w:sz w:val="18"/>
              </w:rPr>
              <w:t>对健全医疗保障制度体系的作用</w:t>
            </w:r>
          </w:p>
        </w:tc>
        <w:tc>
          <w:tcPr>
            <w:tcW w:w="1173" w:type="dxa"/>
            <w:vAlign w:val="center"/>
          </w:tcPr>
          <w:p>
            <w:pPr>
              <w:spacing w:line="210" w:lineRule="exact"/>
              <w:jc w:val="center"/>
              <w:rPr>
                <w:rFonts w:ascii="Arial" w:hAnsi="Arial" w:eastAsia="Arial" w:cs="Arial"/>
                <w:snapToGrid w:val="0"/>
                <w:color w:val="000000"/>
                <w:kern w:val="0"/>
                <w:sz w:val="18"/>
                <w:szCs w:val="21"/>
                <w:lang w:val="en-US" w:eastAsia="en-US" w:bidi="ar-SA"/>
              </w:rPr>
            </w:pPr>
            <w:r>
              <w:rPr>
                <w:rFonts w:hint="eastAsia" w:ascii="Arial"/>
                <w:sz w:val="18"/>
              </w:rPr>
              <w:t>成效明显</w:t>
            </w:r>
          </w:p>
        </w:tc>
        <w:tc>
          <w:tcPr>
            <w:tcW w:w="1712" w:type="dxa"/>
            <w:vAlign w:val="center"/>
          </w:tcPr>
          <w:p>
            <w:pPr>
              <w:rPr>
                <w:rFonts w:hint="eastAsia" w:ascii="仿宋" w:hAnsi="仿宋" w:eastAsia="仿宋" w:cs="仿宋"/>
                <w:b w:val="0"/>
                <w:bCs/>
                <w:sz w:val="32"/>
                <w:szCs w:val="32"/>
                <w:lang w:val="en-US" w:eastAsia="zh-CN"/>
              </w:rPr>
            </w:pPr>
            <w:r>
              <w:rPr>
                <w:rFonts w:hint="eastAsia" w:ascii="Arial"/>
                <w:sz w:val="18"/>
                <w:lang w:val="en-US" w:eastAsia="zh-CN"/>
              </w:rPr>
              <w:t>我市城乡居民基本医疗保险工作始终坚持政策先行，按程序规范操作，严格审核审批，扎实推行健全社会救助体系，做好三重制度综合保险，提高管理服务水平，有效提高综合医疗保障水平，同时建立长效机制。</w:t>
            </w:r>
          </w:p>
          <w:p>
            <w:pPr>
              <w:spacing w:line="210" w:lineRule="exact"/>
              <w:jc w:val="center"/>
              <w:rPr>
                <w:rFonts w:ascii="Arial" w:hAnsi="Arial" w:eastAsia="Arial" w:cs="Arial"/>
                <w:snapToGrid w:val="0"/>
                <w:color w:val="000000"/>
                <w:kern w:val="0"/>
                <w:sz w:val="18"/>
                <w:szCs w:val="21"/>
                <w:lang w:val="en-US" w:eastAsia="en-US" w:bidi="ar-SA"/>
              </w:rPr>
            </w:pPr>
          </w:p>
        </w:tc>
        <w:tc>
          <w:tcPr>
            <w:tcW w:w="650" w:type="dxa"/>
            <w:vAlign w:val="center"/>
          </w:tcPr>
          <w:p>
            <w:pPr>
              <w:spacing w:line="190" w:lineRule="exact"/>
              <w:jc w:val="center"/>
              <w:rPr>
                <w:rFonts w:hint="default" w:ascii="Arial"/>
                <w:sz w:val="16"/>
                <w:lang w:val="en-US"/>
              </w:rPr>
            </w:pPr>
            <w:r>
              <w:rPr>
                <w:rFonts w:hint="default"/>
                <w:sz w:val="16"/>
                <w:lang w:val="en-US"/>
              </w:rPr>
              <w:t>3</w:t>
            </w:r>
          </w:p>
        </w:tc>
        <w:tc>
          <w:tcPr>
            <w:tcW w:w="738" w:type="dxa"/>
            <w:vAlign w:val="center"/>
          </w:tcPr>
          <w:p>
            <w:pPr>
              <w:spacing w:line="190" w:lineRule="exact"/>
              <w:jc w:val="center"/>
              <w:rPr>
                <w:rFonts w:hint="default" w:ascii="Arial" w:hAnsi="Arial" w:eastAsia="Arial" w:cs="Arial"/>
                <w:snapToGrid w:val="0"/>
                <w:color w:val="000000"/>
                <w:kern w:val="0"/>
                <w:sz w:val="16"/>
                <w:szCs w:val="21"/>
                <w:lang w:val="en-US" w:eastAsia="en-US" w:bidi="ar-SA"/>
              </w:rPr>
            </w:pPr>
            <w:r>
              <w:rPr>
                <w:rFonts w:hint="default"/>
                <w:sz w:val="16"/>
                <w:lang w:val="en-US"/>
              </w:rPr>
              <w:t>3</w:t>
            </w:r>
          </w:p>
        </w:tc>
        <w:tc>
          <w:tcPr>
            <w:tcW w:w="955" w:type="dxa"/>
            <w:vAlign w:val="top"/>
          </w:tcPr>
          <w:p>
            <w:pPr>
              <w:spacing w:line="190"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405" w:type="dxa"/>
            <w:vMerge w:val="continue"/>
            <w:tcBorders>
              <w:top w:val="nil"/>
              <w:bottom w:val="nil"/>
            </w:tcBorders>
            <w:textDirection w:val="tbRlV"/>
            <w:vAlign w:val="top"/>
          </w:tcPr>
          <w:p>
            <w:pPr>
              <w:rPr>
                <w:rFonts w:ascii="Arial"/>
                <w:sz w:val="21"/>
              </w:rPr>
            </w:pPr>
          </w:p>
        </w:tc>
        <w:tc>
          <w:tcPr>
            <w:tcW w:w="400" w:type="dxa"/>
            <w:tcBorders>
              <w:bottom w:val="nil"/>
            </w:tcBorders>
            <w:vAlign w:val="top"/>
          </w:tcPr>
          <w:p>
            <w:pPr>
              <w:pStyle w:val="8"/>
              <w:spacing w:before="125" w:line="226" w:lineRule="auto"/>
              <w:ind w:left="19" w:right="36"/>
              <w:jc w:val="both"/>
              <w:rPr>
                <w:sz w:val="17"/>
                <w:szCs w:val="17"/>
              </w:rPr>
            </w:pPr>
            <w:r>
              <w:rPr>
                <w:spacing w:val="-4"/>
                <w:sz w:val="17"/>
                <w:szCs w:val="17"/>
              </w:rPr>
              <w:t>满意</w:t>
            </w:r>
            <w:r>
              <w:rPr>
                <w:sz w:val="17"/>
                <w:szCs w:val="17"/>
              </w:rPr>
              <w:t xml:space="preserve"> </w:t>
            </w:r>
            <w:r>
              <w:rPr>
                <w:spacing w:val="-3"/>
                <w:sz w:val="17"/>
                <w:szCs w:val="17"/>
              </w:rPr>
              <w:t>度指</w:t>
            </w:r>
            <w:r>
              <w:rPr>
                <w:sz w:val="17"/>
                <w:szCs w:val="17"/>
              </w:rPr>
              <w:t xml:space="preserve"> </w:t>
            </w:r>
            <w:r>
              <w:rPr>
                <w:spacing w:val="26"/>
                <w:w w:val="127"/>
                <w:sz w:val="17"/>
                <w:szCs w:val="17"/>
              </w:rPr>
              <w:t>标</w:t>
            </w:r>
          </w:p>
        </w:tc>
        <w:tc>
          <w:tcPr>
            <w:tcW w:w="819" w:type="dxa"/>
            <w:tcBorders>
              <w:bottom w:val="nil"/>
            </w:tcBorders>
            <w:vAlign w:val="top"/>
          </w:tcPr>
          <w:p>
            <w:pPr>
              <w:pStyle w:val="8"/>
              <w:spacing w:before="36" w:line="217" w:lineRule="auto"/>
              <w:ind w:left="60"/>
              <w:rPr>
                <w:sz w:val="17"/>
                <w:szCs w:val="17"/>
              </w:rPr>
            </w:pPr>
            <w:r>
              <w:rPr>
                <w:spacing w:val="-2"/>
                <w:sz w:val="17"/>
                <w:szCs w:val="17"/>
              </w:rPr>
              <w:t>服务对象</w:t>
            </w:r>
          </w:p>
          <w:p>
            <w:pPr>
              <w:pStyle w:val="8"/>
              <w:spacing w:line="207" w:lineRule="auto"/>
              <w:ind w:left="60"/>
              <w:rPr>
                <w:sz w:val="17"/>
                <w:szCs w:val="17"/>
              </w:rPr>
            </w:pPr>
            <w:r>
              <w:rPr>
                <w:spacing w:val="-2"/>
                <w:sz w:val="17"/>
                <w:szCs w:val="17"/>
              </w:rPr>
              <w:t>满意度指</w:t>
            </w:r>
          </w:p>
          <w:p>
            <w:pPr>
              <w:pStyle w:val="8"/>
              <w:spacing w:line="198" w:lineRule="auto"/>
              <w:ind w:left="320"/>
              <w:rPr>
                <w:sz w:val="17"/>
                <w:szCs w:val="17"/>
              </w:rPr>
            </w:pPr>
            <w:r>
              <w:rPr>
                <w:sz w:val="17"/>
                <w:szCs w:val="17"/>
              </w:rPr>
              <w:t>标</w:t>
            </w:r>
          </w:p>
        </w:tc>
        <w:tc>
          <w:tcPr>
            <w:tcW w:w="2757" w:type="dxa"/>
            <w:gridSpan w:val="2"/>
            <w:vAlign w:val="center"/>
          </w:tcPr>
          <w:p>
            <w:pPr>
              <w:spacing w:line="220" w:lineRule="exact"/>
              <w:jc w:val="center"/>
              <w:rPr>
                <w:rFonts w:ascii="Arial" w:hAnsi="Arial" w:eastAsia="Arial" w:cs="Arial"/>
                <w:snapToGrid w:val="0"/>
                <w:color w:val="000000"/>
                <w:kern w:val="0"/>
                <w:sz w:val="19"/>
                <w:szCs w:val="21"/>
                <w:lang w:val="en-US" w:eastAsia="en-US" w:bidi="ar-SA"/>
              </w:rPr>
            </w:pPr>
            <w:r>
              <w:rPr>
                <w:rFonts w:hint="eastAsia" w:ascii="Arial"/>
                <w:sz w:val="19"/>
              </w:rPr>
              <w:t>救助群体对政策知晓率和救助工作的满意度</w:t>
            </w:r>
          </w:p>
        </w:tc>
        <w:tc>
          <w:tcPr>
            <w:tcW w:w="1173" w:type="dxa"/>
            <w:vAlign w:val="center"/>
          </w:tcPr>
          <w:p>
            <w:pPr>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≧85%</w:t>
            </w:r>
          </w:p>
        </w:tc>
        <w:tc>
          <w:tcPr>
            <w:tcW w:w="1712" w:type="dxa"/>
            <w:vAlign w:val="center"/>
          </w:tcPr>
          <w:p>
            <w:pPr>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≧85%</w:t>
            </w:r>
          </w:p>
        </w:tc>
        <w:tc>
          <w:tcPr>
            <w:tcW w:w="650" w:type="dxa"/>
            <w:vAlign w:val="center"/>
          </w:tcPr>
          <w:p>
            <w:pPr>
              <w:spacing w:line="190" w:lineRule="exact"/>
              <w:jc w:val="center"/>
              <w:rPr>
                <w:rFonts w:hint="default" w:ascii="Arial"/>
                <w:sz w:val="16"/>
                <w:lang w:val="en-US"/>
              </w:rPr>
            </w:pPr>
            <w:r>
              <w:rPr>
                <w:rFonts w:hint="default"/>
                <w:sz w:val="16"/>
                <w:lang w:val="en-US"/>
              </w:rPr>
              <w:t>5</w:t>
            </w:r>
          </w:p>
        </w:tc>
        <w:tc>
          <w:tcPr>
            <w:tcW w:w="738" w:type="dxa"/>
            <w:vAlign w:val="center"/>
          </w:tcPr>
          <w:p>
            <w:pPr>
              <w:spacing w:line="190" w:lineRule="exact"/>
              <w:jc w:val="center"/>
              <w:rPr>
                <w:rFonts w:hint="default" w:ascii="Arial" w:hAnsi="Arial" w:eastAsia="Arial" w:cs="Arial"/>
                <w:snapToGrid w:val="0"/>
                <w:color w:val="000000"/>
                <w:kern w:val="0"/>
                <w:sz w:val="16"/>
                <w:szCs w:val="21"/>
                <w:lang w:val="en-US" w:eastAsia="en-US" w:bidi="ar-SA"/>
              </w:rPr>
            </w:pPr>
            <w:r>
              <w:rPr>
                <w:rFonts w:hint="default"/>
                <w:sz w:val="16"/>
                <w:lang w:val="en-US"/>
              </w:rPr>
              <w:t>5</w:t>
            </w:r>
          </w:p>
        </w:tc>
        <w:tc>
          <w:tcPr>
            <w:tcW w:w="955" w:type="dxa"/>
            <w:vAlign w:val="top"/>
          </w:tcPr>
          <w:p>
            <w:pPr>
              <w:spacing w:line="190"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66" w:type="dxa"/>
            <w:gridSpan w:val="7"/>
            <w:vAlign w:val="top"/>
          </w:tcPr>
          <w:p>
            <w:pPr>
              <w:pStyle w:val="8"/>
              <w:spacing w:before="47" w:line="209" w:lineRule="auto"/>
              <w:ind w:left="3004"/>
              <w:rPr>
                <w:sz w:val="17"/>
                <w:szCs w:val="17"/>
              </w:rPr>
            </w:pPr>
            <w:r>
              <w:rPr>
                <w:spacing w:val="-3"/>
                <w:sz w:val="17"/>
                <w:szCs w:val="17"/>
              </w:rPr>
              <w:t>总分</w:t>
            </w:r>
          </w:p>
        </w:tc>
        <w:tc>
          <w:tcPr>
            <w:tcW w:w="650" w:type="dxa"/>
            <w:vAlign w:val="center"/>
          </w:tcPr>
          <w:p>
            <w:pPr>
              <w:pStyle w:val="8"/>
              <w:spacing w:before="89" w:line="163" w:lineRule="auto"/>
              <w:ind w:left="155"/>
              <w:jc w:val="center"/>
              <w:rPr>
                <w:sz w:val="17"/>
                <w:szCs w:val="17"/>
              </w:rPr>
            </w:pPr>
            <w:r>
              <w:rPr>
                <w:spacing w:val="-5"/>
                <w:sz w:val="17"/>
                <w:szCs w:val="17"/>
              </w:rPr>
              <w:t>100</w:t>
            </w:r>
          </w:p>
        </w:tc>
        <w:tc>
          <w:tcPr>
            <w:tcW w:w="738" w:type="dxa"/>
            <w:vAlign w:val="center"/>
          </w:tcPr>
          <w:p>
            <w:pPr>
              <w:spacing w:line="240" w:lineRule="exact"/>
              <w:jc w:val="center"/>
              <w:rPr>
                <w:rFonts w:hint="default" w:ascii="Arial"/>
                <w:sz w:val="20"/>
                <w:lang w:val="en-US"/>
              </w:rPr>
            </w:pPr>
            <w:r>
              <w:rPr>
                <w:rFonts w:hint="default"/>
                <w:sz w:val="20"/>
                <w:lang w:val="en-US"/>
              </w:rPr>
              <w:t>100</w:t>
            </w:r>
          </w:p>
        </w:tc>
        <w:tc>
          <w:tcPr>
            <w:tcW w:w="955" w:type="dxa"/>
            <w:vAlign w:val="top"/>
          </w:tcPr>
          <w:p>
            <w:pPr>
              <w:spacing w:line="24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24" w:type="dxa"/>
            <w:gridSpan w:val="3"/>
            <w:vAlign w:val="center"/>
          </w:tcPr>
          <w:p>
            <w:pPr>
              <w:pStyle w:val="8"/>
              <w:spacing w:before="106" w:line="219" w:lineRule="auto"/>
              <w:ind w:left="634"/>
              <w:jc w:val="center"/>
              <w:rPr>
                <w:sz w:val="17"/>
                <w:szCs w:val="17"/>
              </w:rPr>
            </w:pPr>
            <w:r>
              <w:rPr>
                <w:spacing w:val="9"/>
                <w:sz w:val="17"/>
                <w:szCs w:val="17"/>
              </w:rPr>
              <w:t>说明</w:t>
            </w:r>
          </w:p>
        </w:tc>
        <w:tc>
          <w:tcPr>
            <w:tcW w:w="7985" w:type="dxa"/>
            <w:gridSpan w:val="7"/>
            <w:vAlign w:val="center"/>
          </w:tcPr>
          <w:p>
            <w:pPr>
              <w:pStyle w:val="8"/>
              <w:spacing w:before="15" w:line="189" w:lineRule="auto"/>
              <w:ind w:left="10"/>
              <w:jc w:val="center"/>
              <w:rPr>
                <w:rFonts w:hint="eastAsia" w:eastAsia="宋体"/>
                <w:sz w:val="17"/>
                <w:szCs w:val="17"/>
                <w:lang w:eastAsia="zh-CN"/>
              </w:rPr>
            </w:pPr>
            <w:r>
              <w:rPr>
                <w:rFonts w:hint="eastAsia"/>
                <w:spacing w:val="-7"/>
                <w:sz w:val="17"/>
                <w:szCs w:val="17"/>
                <w:lang w:val="en-US" w:eastAsia="zh-CN"/>
              </w:rPr>
              <w:t>无</w:t>
            </w:r>
          </w:p>
        </w:tc>
      </w:tr>
    </w:tbl>
    <w:p>
      <w:pPr>
        <w:spacing w:before="41" w:line="219" w:lineRule="auto"/>
        <w:ind w:left="24"/>
        <w:rPr>
          <w:rFonts w:ascii="宋体" w:hAnsi="宋体" w:eastAsia="宋体" w:cs="宋体"/>
          <w:sz w:val="16"/>
          <w:szCs w:val="16"/>
        </w:rPr>
      </w:pPr>
      <w:r>
        <w:rPr>
          <w:rFonts w:ascii="宋体" w:hAnsi="宋体" w:eastAsia="宋体" w:cs="宋体"/>
          <w:spacing w:val="-1"/>
          <w:sz w:val="16"/>
          <w:szCs w:val="16"/>
        </w:rPr>
        <w:t>注：1.该表由中央主管部门填写。</w:t>
      </w:r>
    </w:p>
    <w:p>
      <w:pPr>
        <w:spacing w:before="89" w:line="219" w:lineRule="auto"/>
        <w:ind w:left="334"/>
        <w:rPr>
          <w:rFonts w:ascii="宋体" w:hAnsi="宋体" w:eastAsia="宋体" w:cs="宋体"/>
          <w:sz w:val="16"/>
          <w:szCs w:val="16"/>
        </w:rPr>
      </w:pPr>
      <w:r>
        <w:rPr>
          <w:rFonts w:ascii="宋体" w:hAnsi="宋体" w:eastAsia="宋体" w:cs="宋体"/>
          <w:spacing w:val="-1"/>
          <w:sz w:val="16"/>
          <w:szCs w:val="16"/>
        </w:rPr>
        <w:t>2.其他资金包括与中央财政资金、地方财政资金共同投入的自有资金、社会资金，以及以前年度的结转结余资金等。</w:t>
      </w:r>
    </w:p>
    <w:p>
      <w:pPr>
        <w:spacing w:before="40" w:line="219" w:lineRule="auto"/>
        <w:ind w:left="334"/>
        <w:rPr>
          <w:rFonts w:ascii="宋体" w:hAnsi="宋体" w:eastAsia="宋体" w:cs="宋体"/>
          <w:sz w:val="16"/>
          <w:szCs w:val="16"/>
        </w:rPr>
      </w:pPr>
      <w:r>
        <w:rPr>
          <w:rFonts w:ascii="宋体" w:hAnsi="宋体" w:eastAsia="宋体" w:cs="宋体"/>
          <w:sz w:val="16"/>
          <w:szCs w:val="16"/>
        </w:rPr>
        <w:t>3.资金管理情况需汇总反映各级政府的资金管理情况，对违反预算管理</w:t>
      </w:r>
      <w:r>
        <w:rPr>
          <w:rFonts w:ascii="宋体" w:hAnsi="宋体" w:eastAsia="宋体" w:cs="宋体"/>
          <w:spacing w:val="-1"/>
          <w:sz w:val="16"/>
          <w:szCs w:val="16"/>
        </w:rPr>
        <w:t>规定行为的，原则上每发现1例扣0.5分，扣完为止。</w:t>
      </w:r>
    </w:p>
    <w:p>
      <w:pPr>
        <w:spacing w:before="30" w:line="220" w:lineRule="auto"/>
        <w:ind w:left="34" w:right="129" w:firstLine="300"/>
        <w:rPr>
          <w:rFonts w:ascii="宋体" w:hAnsi="宋体" w:eastAsia="宋体" w:cs="宋体"/>
          <w:sz w:val="16"/>
          <w:szCs w:val="16"/>
        </w:rPr>
      </w:pPr>
      <w:r>
        <w:rPr>
          <w:rFonts w:ascii="宋体" w:hAnsi="宋体" w:eastAsia="宋体" w:cs="宋体"/>
          <w:spacing w:val="2"/>
          <w:sz w:val="16"/>
          <w:szCs w:val="16"/>
        </w:rPr>
        <w:t>4.专项转移支付无需填写“支出责任履行情况”项，相关分值(5分)分摊到“分配科学性”、“下达及时性”、“拨付合规性”、</w:t>
      </w:r>
      <w:r>
        <w:rPr>
          <w:rFonts w:ascii="宋体" w:hAnsi="宋体" w:eastAsia="宋体" w:cs="宋体"/>
          <w:spacing w:val="11"/>
          <w:sz w:val="16"/>
          <w:szCs w:val="16"/>
        </w:rPr>
        <w:t xml:space="preserve"> </w:t>
      </w:r>
      <w:r>
        <w:rPr>
          <w:rFonts w:ascii="宋体" w:hAnsi="宋体" w:eastAsia="宋体" w:cs="宋体"/>
          <w:spacing w:val="-1"/>
          <w:sz w:val="16"/>
          <w:szCs w:val="16"/>
        </w:rPr>
        <w:t>“使用规范性”和“政策目标实现情况”等5项上。</w:t>
      </w:r>
    </w:p>
    <w:p>
      <w:pPr>
        <w:spacing w:before="21" w:line="228" w:lineRule="auto"/>
        <w:ind w:left="44" w:firstLine="290"/>
        <w:rPr>
          <w:rFonts w:ascii="宋体" w:hAnsi="宋体" w:eastAsia="宋体" w:cs="宋体"/>
          <w:sz w:val="16"/>
          <w:szCs w:val="16"/>
        </w:rPr>
      </w:pPr>
      <w:r>
        <w:rPr>
          <w:rFonts w:ascii="宋体" w:hAnsi="宋体" w:eastAsia="宋体" w:cs="宋体"/>
          <w:sz w:val="16"/>
          <w:szCs w:val="16"/>
        </w:rPr>
        <w:t>5.中央主管部门商财政部主管司局确定各项绩效指标分值权重，并根据全年实际完成情况填写得分，各项指标得分加总形成该</w:t>
      </w:r>
      <w:r>
        <w:rPr>
          <w:rFonts w:ascii="宋体" w:hAnsi="宋体" w:eastAsia="宋体" w:cs="宋体"/>
          <w:spacing w:val="-1"/>
          <w:sz w:val="16"/>
          <w:szCs w:val="16"/>
        </w:rPr>
        <w:t>转移支</w:t>
      </w:r>
      <w:r>
        <w:rPr>
          <w:rFonts w:ascii="宋体" w:hAnsi="宋体" w:eastAsia="宋体" w:cs="宋体"/>
          <w:sz w:val="16"/>
          <w:szCs w:val="16"/>
        </w:rPr>
        <w:t xml:space="preserve"> </w:t>
      </w:r>
      <w:r>
        <w:rPr>
          <w:rFonts w:ascii="宋体" w:hAnsi="宋体" w:eastAsia="宋体" w:cs="宋体"/>
          <w:spacing w:val="-1"/>
          <w:sz w:val="16"/>
          <w:szCs w:val="16"/>
        </w:rPr>
        <w:t>付绩效自评总分。原则上，</w:t>
      </w:r>
      <w:r>
        <w:rPr>
          <w:rFonts w:ascii="宋体" w:hAnsi="宋体" w:eastAsia="宋体" w:cs="宋体"/>
          <w:spacing w:val="52"/>
          <w:sz w:val="16"/>
          <w:szCs w:val="16"/>
        </w:rPr>
        <w:t xml:space="preserve"> </w:t>
      </w:r>
      <w:r>
        <w:rPr>
          <w:rFonts w:ascii="宋体" w:hAnsi="宋体" w:eastAsia="宋体" w:cs="宋体"/>
          <w:spacing w:val="-1"/>
          <w:sz w:val="16"/>
          <w:szCs w:val="16"/>
        </w:rPr>
        <w:t>一级指标分值设置为：资金投入情况10分、资金管理情况40分、产出指标30分、效益指标15分、满意度指标5</w:t>
      </w:r>
      <w:r>
        <w:rPr>
          <w:rFonts w:ascii="宋体" w:hAnsi="宋体" w:eastAsia="宋体" w:cs="宋体"/>
          <w:sz w:val="16"/>
          <w:szCs w:val="16"/>
        </w:rPr>
        <w:t xml:space="preserve"> </w:t>
      </w:r>
      <w:r>
        <w:rPr>
          <w:rFonts w:ascii="宋体" w:hAnsi="宋体" w:eastAsia="宋体" w:cs="宋体"/>
          <w:spacing w:val="3"/>
          <w:sz w:val="16"/>
          <w:szCs w:val="16"/>
        </w:rPr>
        <w:t xml:space="preserve">分。如有特殊情况，除资金投入情况、资金管理情况外，其他指标分值权重可适当调整(总分应为100分)。巡视、审计和财会监督中发 </w:t>
      </w:r>
      <w:r>
        <w:rPr>
          <w:rFonts w:ascii="宋体" w:hAnsi="宋体" w:eastAsia="宋体" w:cs="宋体"/>
          <w:spacing w:val="-3"/>
          <w:sz w:val="16"/>
          <w:szCs w:val="16"/>
        </w:rPr>
        <w:t>现问题的应酌情扣分。</w:t>
      </w:r>
    </w:p>
    <w:p>
      <w:pPr>
        <w:spacing w:line="228" w:lineRule="auto"/>
        <w:rPr>
          <w:rFonts w:ascii="宋体" w:hAnsi="宋体" w:eastAsia="宋体" w:cs="宋体"/>
          <w:sz w:val="16"/>
          <w:szCs w:val="16"/>
        </w:rPr>
        <w:sectPr>
          <w:pgSz w:w="11900" w:h="16820"/>
          <w:pgMar w:top="1045" w:right="1160" w:bottom="400" w:left="1105" w:header="0" w:footer="0" w:gutter="0"/>
          <w:cols w:space="720" w:num="1"/>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44415E"/>
    <w:rsid w:val="064170FB"/>
    <w:rsid w:val="420273D3"/>
    <w:rsid w:val="689829F6"/>
    <w:rsid w:val="76444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Body Text Indent"/>
    <w:basedOn w:val="1"/>
    <w:qFormat/>
    <w:uiPriority w:val="0"/>
    <w:pPr>
      <w:ind w:firstLine="200" w:firstLineChars="200"/>
    </w:pPr>
    <w:rPr>
      <w:rFonts w:eastAsia="宋体"/>
      <w:sz w:val="28"/>
    </w:rPr>
  </w:style>
  <w:style w:type="paragraph" w:styleId="4">
    <w:name w:val="Body Text First Indent"/>
    <w:basedOn w:val="2"/>
    <w:next w:val="5"/>
    <w:unhideWhenUsed/>
    <w:qFormat/>
    <w:uiPriority w:val="99"/>
    <w:pPr>
      <w:suppressAutoHyphens/>
      <w:spacing w:after="140" w:line="600" w:lineRule="exact"/>
      <w:ind w:firstLine="420" w:firstLineChars="100"/>
    </w:pPr>
    <w:rPr>
      <w:rFonts w:ascii="仿宋_GB2312" w:hAnsi="仿宋_GB2312" w:eastAsia="宋体" w:cs="仿宋_GB2312"/>
    </w:rPr>
  </w:style>
  <w:style w:type="paragraph" w:styleId="5">
    <w:name w:val="Body Text First Indent 2"/>
    <w:basedOn w:val="3"/>
    <w:next w:val="1"/>
    <w:qFormat/>
    <w:uiPriority w:val="0"/>
    <w:pPr>
      <w:spacing w:after="120" w:afterLines="0"/>
      <w:ind w:left="420" w:leftChars="200" w:firstLine="420"/>
    </w:pPr>
  </w:style>
  <w:style w:type="paragraph" w:customStyle="1" w:styleId="8">
    <w:name w:val="Table Text"/>
    <w:basedOn w:val="1"/>
    <w:semiHidden/>
    <w:qFormat/>
    <w:uiPriority w:val="0"/>
    <w:rPr>
      <w:rFonts w:ascii="宋体" w:hAnsi="宋体" w:eastAsia="宋体" w:cs="宋体"/>
      <w:sz w:val="22"/>
      <w:szCs w:val="22"/>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2024-05-14T02:34:00Z</dcterms:created>
  <dc:creator>Lo</dc:creator>
  <cp:lastModifiedBy>Lo</cp:lastModifiedBy>
  <dcterms:modified xsi:type="dcterms:W3CDTF">2024-05-15T03:47:36Z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F9E68ED4E5324E6B9C26BEF72947332E</vt:lpwstr>
  </property>
</Properties>
</file>