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hAnsi="Times New Roman" w:cs="Times New Roman"/>
          <w:bCs/>
          <w:sz w:val="44"/>
          <w:szCs w:val="44"/>
        </w:rPr>
      </w:pPr>
    </w:p>
    <w:p w:rsidR="001328A6" w:rsidRDefault="001328A6">
      <w:pPr>
        <w:pStyle w:val="a0"/>
        <w:overflowPunct w:val="0"/>
        <w:spacing w:before="0" w:after="0" w:line="580" w:lineRule="exact"/>
        <w:outlineLvl w:val="9"/>
        <w:rPr>
          <w:rFonts w:ascii="Times New Roman" w:hAnsi="Times New Roman" w:cs="Times New Roman"/>
          <w:b w:val="0"/>
          <w:sz w:val="44"/>
          <w:szCs w:val="44"/>
        </w:rPr>
      </w:pPr>
    </w:p>
    <w:p w:rsidR="001328A6" w:rsidRDefault="001328A6">
      <w:pPr>
        <w:pStyle w:val="a4"/>
        <w:overflowPunct w:val="0"/>
        <w:spacing w:after="0" w:line="580" w:lineRule="exact"/>
        <w:ind w:leftChars="0" w:left="0"/>
        <w:rPr>
          <w:rFonts w:ascii="Times New Roman" w:hAnsi="Times New Roman" w:cs="Times New Roman"/>
          <w:bCs/>
          <w:sz w:val="44"/>
          <w:szCs w:val="44"/>
        </w:rPr>
      </w:pPr>
    </w:p>
    <w:p w:rsidR="001328A6" w:rsidRDefault="001328A6">
      <w:pPr>
        <w:pStyle w:val="20"/>
        <w:overflowPunct w:val="0"/>
        <w:spacing w:line="580" w:lineRule="exact"/>
        <w:ind w:leftChars="0" w:left="0"/>
        <w:rPr>
          <w:rFonts w:ascii="Times New Roman" w:hAnsi="Times New Roman" w:cs="Times New Roman"/>
          <w:bCs/>
          <w:sz w:val="44"/>
          <w:szCs w:val="44"/>
        </w:rPr>
      </w:pPr>
    </w:p>
    <w:p w:rsidR="001328A6" w:rsidRDefault="001328A6">
      <w:pPr>
        <w:overflowPunct w:val="0"/>
        <w:spacing w:line="580" w:lineRule="exact"/>
        <w:rPr>
          <w:rFonts w:ascii="Times New Roman" w:hAnsi="Times New Roman" w:cs="Times New Roman"/>
          <w:bCs/>
          <w:sz w:val="44"/>
          <w:szCs w:val="44"/>
        </w:rPr>
      </w:pPr>
    </w:p>
    <w:p w:rsidR="001328A6" w:rsidRDefault="001328A6">
      <w:pPr>
        <w:pStyle w:val="a0"/>
        <w:overflowPunct w:val="0"/>
        <w:spacing w:before="0" w:after="0" w:line="580" w:lineRule="exact"/>
        <w:outlineLvl w:val="9"/>
        <w:rPr>
          <w:rFonts w:ascii="Times New Roman" w:hAnsi="Times New Roman" w:cs="Times New Roman"/>
          <w:b w:val="0"/>
          <w:sz w:val="44"/>
          <w:szCs w:val="44"/>
        </w:rPr>
      </w:pPr>
    </w:p>
    <w:p w:rsidR="001328A6" w:rsidRDefault="001328A6">
      <w:pPr>
        <w:pStyle w:val="a4"/>
        <w:overflowPunct w:val="0"/>
        <w:spacing w:after="0" w:line="580" w:lineRule="exact"/>
        <w:ind w:leftChars="0" w:left="0"/>
        <w:rPr>
          <w:rFonts w:ascii="Times New Roman" w:hAnsi="Times New Roman" w:cs="Times New Roman"/>
          <w:bCs/>
          <w:sz w:val="44"/>
          <w:szCs w:val="44"/>
        </w:rPr>
      </w:pPr>
    </w:p>
    <w:p w:rsidR="001328A6" w:rsidRDefault="001328A6">
      <w:pPr>
        <w:overflowPunct w:val="0"/>
        <w:spacing w:line="1000" w:lineRule="exact"/>
        <w:rPr>
          <w:rFonts w:ascii="Times New Roman" w:hAnsi="Times New Roman" w:cs="Times New Roman"/>
          <w:bCs/>
          <w:sz w:val="44"/>
          <w:szCs w:val="44"/>
        </w:rPr>
      </w:pPr>
    </w:p>
    <w:p w:rsidR="001328A6" w:rsidRDefault="007F3236">
      <w:pPr>
        <w:pStyle w:val="a4"/>
        <w:spacing w:after="0" w:line="580" w:lineRule="exact"/>
        <w:ind w:leftChars="0" w:left="0"/>
        <w:jc w:val="center"/>
        <w:rPr>
          <w:rFonts w:ascii="Times New Roman" w:hAnsi="Times New Roman" w:cs="Times New Roman"/>
          <w:bCs/>
          <w:sz w:val="44"/>
          <w:szCs w:val="44"/>
        </w:rPr>
      </w:pPr>
      <w:r>
        <w:rPr>
          <w:rFonts w:ascii="Times New Roman" w:eastAsia="仿宋_GB2312" w:hAnsi="Times New Roman" w:cs="仿宋_GB2312" w:hint="eastAsia"/>
          <w:bCs/>
          <w:sz w:val="32"/>
          <w:szCs w:val="32"/>
        </w:rPr>
        <w:t>乌海政发〔</w:t>
      </w:r>
      <w:r>
        <w:rPr>
          <w:rFonts w:ascii="Times New Roman" w:eastAsia="仿宋_GB2312" w:hAnsi="Times New Roman" w:cs="仿宋_GB2312" w:hint="eastAsia"/>
          <w:bCs/>
          <w:sz w:val="32"/>
          <w:szCs w:val="32"/>
        </w:rPr>
        <w:t>2021</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24</w:t>
      </w:r>
      <w:r>
        <w:rPr>
          <w:rFonts w:ascii="Times New Roman" w:eastAsia="仿宋_GB2312" w:hAnsi="Times New Roman" w:cs="仿宋_GB2312" w:hint="eastAsia"/>
          <w:bCs/>
          <w:sz w:val="32"/>
          <w:szCs w:val="32"/>
        </w:rPr>
        <w:t>号</w:t>
      </w:r>
    </w:p>
    <w:p w:rsidR="001328A6" w:rsidRDefault="001328A6">
      <w:pPr>
        <w:pStyle w:val="a4"/>
        <w:overflowPunct w:val="0"/>
        <w:spacing w:after="0" w:line="800" w:lineRule="exact"/>
        <w:ind w:leftChars="0" w:left="0"/>
        <w:rPr>
          <w:rFonts w:ascii="Times New Roman" w:hAnsi="Times New Roman" w:cs="Times New Roman"/>
          <w:bCs/>
          <w:sz w:val="44"/>
          <w:szCs w:val="44"/>
        </w:rPr>
      </w:pPr>
    </w:p>
    <w:p w:rsidR="001328A6" w:rsidRDefault="007F3236">
      <w:pPr>
        <w:pStyle w:val="20"/>
        <w:overflowPunct w:val="0"/>
        <w:spacing w:line="800" w:lineRule="exact"/>
        <w:ind w:leftChars="0" w:left="0"/>
        <w:jc w:val="center"/>
        <w:rPr>
          <w:rFonts w:ascii="Times New Roman" w:eastAsia="方正小标宋简体" w:hAnsi="Times New Roman" w:cs="方正小标宋简体"/>
          <w:bCs/>
          <w:sz w:val="44"/>
          <w:szCs w:val="44"/>
        </w:rPr>
      </w:pPr>
      <w:r>
        <w:rPr>
          <w:rFonts w:ascii="Times New Roman" w:eastAsia="方正小标宋简体" w:hAnsi="Times New Roman" w:cs="方正小标宋简体" w:hint="eastAsia"/>
          <w:bCs/>
          <w:sz w:val="44"/>
          <w:szCs w:val="44"/>
        </w:rPr>
        <w:t>乌海市人民政府</w:t>
      </w:r>
    </w:p>
    <w:p w:rsidR="001328A6" w:rsidRDefault="007F3236">
      <w:pPr>
        <w:overflowPunct w:val="0"/>
        <w:spacing w:line="800" w:lineRule="exact"/>
        <w:jc w:val="center"/>
        <w:rPr>
          <w:rFonts w:ascii="Times New Roman" w:eastAsia="方正小标宋简体" w:hAnsi="Times New Roman" w:cs="方正小标宋简体"/>
          <w:bCs/>
          <w:sz w:val="44"/>
          <w:szCs w:val="44"/>
        </w:rPr>
      </w:pPr>
      <w:r>
        <w:rPr>
          <w:rFonts w:ascii="Times New Roman" w:eastAsia="方正小标宋简体" w:hAnsi="Times New Roman" w:cs="方正小标宋简体" w:hint="eastAsia"/>
          <w:bCs/>
          <w:sz w:val="44"/>
          <w:szCs w:val="44"/>
        </w:rPr>
        <w:t>关于印发乌海市国民经济和社会发展第十四个五年规划和</w:t>
      </w:r>
      <w:r>
        <w:rPr>
          <w:rFonts w:ascii="Times New Roman" w:eastAsia="方正小标宋简体" w:hAnsi="Times New Roman" w:cs="方正小标宋简体" w:hint="eastAsia"/>
          <w:bCs/>
          <w:sz w:val="44"/>
          <w:szCs w:val="44"/>
        </w:rPr>
        <w:t>2035</w:t>
      </w:r>
      <w:r>
        <w:rPr>
          <w:rFonts w:ascii="Times New Roman" w:eastAsia="方正小标宋简体" w:hAnsi="Times New Roman" w:cs="方正小标宋简体" w:hint="eastAsia"/>
          <w:bCs/>
          <w:sz w:val="44"/>
          <w:szCs w:val="44"/>
        </w:rPr>
        <w:t>年远景目标纲要的通知</w:t>
      </w:r>
    </w:p>
    <w:p w:rsidR="001328A6" w:rsidRDefault="001328A6">
      <w:pPr>
        <w:overflowPunct w:val="0"/>
        <w:spacing w:line="900" w:lineRule="exact"/>
        <w:rPr>
          <w:rFonts w:ascii="Times New Roman" w:hAnsi="Times New Roman"/>
          <w:bCs/>
        </w:rPr>
      </w:pPr>
    </w:p>
    <w:p w:rsidR="001328A6" w:rsidRDefault="007F3236">
      <w:pPr>
        <w:tabs>
          <w:tab w:val="left" w:pos="2649"/>
        </w:tabs>
        <w:overflowPunct w:val="0"/>
        <w:spacing w:line="900" w:lineRule="exact"/>
        <w:jc w:val="left"/>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各区人民政府，市政府各部门，各企事业单位：</w:t>
      </w:r>
    </w:p>
    <w:p w:rsidR="001328A6" w:rsidRPr="00904272" w:rsidRDefault="007F3236" w:rsidP="00904272">
      <w:pPr>
        <w:pStyle w:val="a4"/>
        <w:overflowPunct w:val="0"/>
        <w:spacing w:after="0" w:line="900" w:lineRule="exact"/>
        <w:ind w:leftChars="0" w:left="0" w:firstLineChars="200" w:firstLine="640"/>
        <w:jc w:val="left"/>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《乌海市国民经济和社会发展第十四个五年规划和</w:t>
      </w:r>
      <w:r>
        <w:rPr>
          <w:rFonts w:ascii="Times New Roman" w:eastAsia="仿宋_GB2312" w:hAnsi="Times New Roman" w:cs="仿宋_GB2312" w:hint="eastAsia"/>
          <w:bCs/>
          <w:sz w:val="32"/>
          <w:szCs w:val="32"/>
        </w:rPr>
        <w:t>2035</w:t>
      </w:r>
      <w:r>
        <w:rPr>
          <w:rFonts w:ascii="Times New Roman" w:eastAsia="仿宋_GB2312" w:hAnsi="Times New Roman" w:cs="仿宋_GB2312" w:hint="eastAsia"/>
          <w:bCs/>
          <w:sz w:val="32"/>
          <w:szCs w:val="32"/>
        </w:rPr>
        <w:t>年远景目标纲要》已经乌海市第九届人民代表大会第四次会议审议</w:t>
      </w:r>
      <w:r>
        <w:rPr>
          <w:rFonts w:ascii="Times New Roman" w:eastAsia="仿宋_GB2312" w:hAnsi="Times New Roman" w:cs="仿宋_GB2312" w:hint="eastAsia"/>
          <w:bCs/>
          <w:sz w:val="32"/>
          <w:szCs w:val="32"/>
        </w:rPr>
        <w:lastRenderedPageBreak/>
        <w:t>通过，现印发给你们，请结合实际，认真贯彻落实。</w:t>
      </w:r>
    </w:p>
    <w:p w:rsidR="001328A6" w:rsidRDefault="007F3236">
      <w:pPr>
        <w:wordWrap w:val="0"/>
        <w:overflowPunct w:val="0"/>
        <w:spacing w:line="800" w:lineRule="exact"/>
        <w:ind w:firstLineChars="1500" w:firstLine="4800"/>
        <w:jc w:val="right"/>
        <w:rPr>
          <w:rFonts w:ascii="Times New Roman" w:eastAsia="仿宋_GB2312" w:hAnsi="Times New Roman" w:cs="Times New Roman"/>
          <w:bCs/>
          <w:sz w:val="32"/>
          <w:szCs w:val="32"/>
        </w:rPr>
      </w:pPr>
      <w:r>
        <w:rPr>
          <w:rFonts w:ascii="Times New Roman" w:eastAsia="仿宋_GB2312" w:hAnsi="Times New Roman" w:cs="Times New Roman"/>
          <w:bCs/>
          <w:sz w:val="32"/>
          <w:szCs w:val="32"/>
        </w:rPr>
        <w:t>2021</w:t>
      </w:r>
      <w:r>
        <w:rPr>
          <w:rFonts w:ascii="Times New Roman" w:eastAsia="仿宋_GB2312" w:hAnsi="Times New Roman" w:cs="Times New Roman"/>
          <w:bCs/>
          <w:sz w:val="32"/>
          <w:szCs w:val="32"/>
        </w:rPr>
        <w:t>年</w:t>
      </w:r>
      <w:r>
        <w:rPr>
          <w:rFonts w:ascii="Times New Roman" w:eastAsia="仿宋_GB2312" w:hAnsi="Times New Roman" w:cs="Times New Roman"/>
          <w:bCs/>
          <w:sz w:val="32"/>
          <w:szCs w:val="32"/>
        </w:rPr>
        <w:t>8</w:t>
      </w:r>
      <w:r>
        <w:rPr>
          <w:rFonts w:ascii="Times New Roman" w:eastAsia="仿宋_GB2312" w:hAnsi="Times New Roman" w:cs="Times New Roman"/>
          <w:bCs/>
          <w:sz w:val="32"/>
          <w:szCs w:val="32"/>
        </w:rPr>
        <w:t>月</w:t>
      </w:r>
      <w:r>
        <w:rPr>
          <w:rFonts w:ascii="Times New Roman" w:eastAsia="仿宋_GB2312" w:hAnsi="Times New Roman" w:cs="Times New Roman"/>
          <w:bCs/>
          <w:sz w:val="32"/>
          <w:szCs w:val="32"/>
        </w:rPr>
        <w:t>21</w:t>
      </w:r>
      <w:r>
        <w:rPr>
          <w:rFonts w:ascii="Times New Roman" w:eastAsia="仿宋_GB2312" w:hAnsi="Times New Roman" w:cs="Times New Roman" w:hint="eastAsia"/>
          <w:bCs/>
          <w:sz w:val="32"/>
          <w:szCs w:val="32"/>
        </w:rPr>
        <w:t>日</w:t>
      </w:r>
      <w:r>
        <w:rPr>
          <w:rFonts w:ascii="Times New Roman" w:eastAsia="仿宋_GB2312" w:hAnsi="Times New Roman" w:cs="Times New Roman" w:hint="eastAsia"/>
          <w:bCs/>
          <w:sz w:val="32"/>
          <w:szCs w:val="32"/>
        </w:rPr>
        <w:t xml:space="preserve">        </w:t>
      </w:r>
    </w:p>
    <w:p w:rsidR="001328A6" w:rsidRPr="00904272" w:rsidRDefault="007F3236" w:rsidP="00904272">
      <w:pPr>
        <w:pStyle w:val="a4"/>
        <w:overflowPunct w:val="0"/>
        <w:spacing w:after="0" w:line="800" w:lineRule="exact"/>
        <w:ind w:leftChars="0" w:left="0" w:firstLineChars="200" w:firstLine="64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（此件公开发布）</w:t>
      </w:r>
    </w:p>
    <w:p w:rsidR="00E62278" w:rsidRPr="00E62278" w:rsidRDefault="00E62278" w:rsidP="00E62278">
      <w:pPr>
        <w:pStyle w:val="a4"/>
        <w:spacing w:line="560" w:lineRule="exact"/>
        <w:jc w:val="center"/>
        <w:rPr>
          <w:rFonts w:ascii="楷体_GB2312" w:eastAsia="楷体_GB2312" w:hAnsi="Times New Roman" w:cs="仿宋_GB2312" w:hint="eastAsia"/>
          <w:bCs/>
          <w:sz w:val="32"/>
          <w:szCs w:val="32"/>
        </w:rPr>
      </w:pPr>
      <w:r w:rsidRPr="00E62278">
        <w:rPr>
          <w:rFonts w:ascii="楷体_GB2312" w:eastAsia="楷体_GB2312" w:hAnsi="Times New Roman" w:cs="仿宋_GB2312" w:hint="eastAsia"/>
          <w:bCs/>
          <w:sz w:val="32"/>
          <w:szCs w:val="32"/>
        </w:rPr>
        <w:t>乌海市国民经济和社会发展</w:t>
      </w:r>
    </w:p>
    <w:p w:rsidR="00E62278" w:rsidRPr="00E62278" w:rsidRDefault="00E62278" w:rsidP="00E62278">
      <w:pPr>
        <w:pStyle w:val="a4"/>
        <w:spacing w:line="560" w:lineRule="exact"/>
        <w:jc w:val="center"/>
        <w:rPr>
          <w:rFonts w:ascii="楷体_GB2312" w:eastAsia="楷体_GB2312" w:hAnsi="Times New Roman" w:cs="仿宋_GB2312" w:hint="eastAsia"/>
          <w:bCs/>
          <w:sz w:val="32"/>
          <w:szCs w:val="32"/>
        </w:rPr>
      </w:pPr>
      <w:r w:rsidRPr="00E62278">
        <w:rPr>
          <w:rFonts w:ascii="楷体_GB2312" w:eastAsia="楷体_GB2312" w:hAnsi="Times New Roman" w:cs="仿宋_GB2312" w:hint="eastAsia"/>
          <w:bCs/>
          <w:sz w:val="32"/>
          <w:szCs w:val="32"/>
        </w:rPr>
        <w:t>第十四个五年规划和2035年</w:t>
      </w:r>
    </w:p>
    <w:p w:rsidR="001328A6" w:rsidRPr="00E62278" w:rsidRDefault="00E62278" w:rsidP="00E62278">
      <w:pPr>
        <w:pStyle w:val="a4"/>
        <w:spacing w:line="560" w:lineRule="exact"/>
        <w:jc w:val="center"/>
        <w:rPr>
          <w:rFonts w:ascii="楷体_GB2312" w:eastAsia="楷体_GB2312" w:hAnsi="Times New Roman" w:cs="仿宋_GB2312" w:hint="eastAsia"/>
          <w:bCs/>
          <w:sz w:val="32"/>
          <w:szCs w:val="32"/>
        </w:rPr>
      </w:pPr>
      <w:r w:rsidRPr="00E62278">
        <w:rPr>
          <w:rFonts w:ascii="楷体_GB2312" w:eastAsia="楷体_GB2312" w:hAnsi="Times New Roman" w:cs="仿宋_GB2312" w:hint="eastAsia"/>
          <w:bCs/>
          <w:sz w:val="32"/>
          <w:szCs w:val="32"/>
        </w:rPr>
        <w:t>远景目标纲要</w:t>
      </w:r>
    </w:p>
    <w:p w:rsidR="001328A6" w:rsidRDefault="001328A6">
      <w:pPr>
        <w:pStyle w:val="20"/>
        <w:rPr>
          <w:rFonts w:ascii="Times New Roman" w:hAnsi="Times New Roman"/>
        </w:rPr>
      </w:pPr>
    </w:p>
    <w:p w:rsidR="001328A6" w:rsidRDefault="00E62278" w:rsidP="00E62278">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bookmarkStart w:id="0" w:name="_Toc14423"/>
      <w:bookmarkStart w:id="1" w:name="_Toc15684"/>
      <w:bookmarkStart w:id="2" w:name="_Toc30588"/>
      <w:r>
        <w:rPr>
          <w:rFonts w:ascii="Times New Roman" w:eastAsia="仿宋" w:hAnsi="Times New Roman" w:cs="仿宋" w:hint="eastAsia"/>
          <w:bCs/>
          <w:sz w:val="30"/>
          <w:szCs w:val="30"/>
        </w:rPr>
        <w:t xml:space="preserve"> </w:t>
      </w:r>
      <w:r w:rsidR="007F3236">
        <w:rPr>
          <w:rFonts w:ascii="Times New Roman" w:eastAsia="仿宋" w:hAnsi="Times New Roman" w:cs="仿宋" w:hint="eastAsia"/>
          <w:bCs/>
          <w:sz w:val="30"/>
          <w:szCs w:val="30"/>
        </w:rPr>
        <w:t>“十四五”时期（</w:t>
      </w:r>
      <w:r w:rsidR="007F3236">
        <w:rPr>
          <w:rFonts w:ascii="Times New Roman" w:eastAsia="仿宋" w:hAnsi="Times New Roman" w:cs="仿宋" w:hint="eastAsia"/>
          <w:bCs/>
          <w:sz w:val="30"/>
          <w:szCs w:val="30"/>
        </w:rPr>
        <w:t>2021</w:t>
      </w:r>
      <w:r w:rsidR="007F3236">
        <w:rPr>
          <w:rFonts w:ascii="Times New Roman" w:eastAsia="仿宋" w:hAnsi="Times New Roman" w:cs="仿宋" w:hint="eastAsia"/>
          <w:bCs/>
          <w:sz w:val="30"/>
          <w:szCs w:val="30"/>
        </w:rPr>
        <w:t>—</w:t>
      </w:r>
      <w:r w:rsidR="007F3236">
        <w:rPr>
          <w:rFonts w:ascii="Times New Roman" w:eastAsia="仿宋" w:hAnsi="Times New Roman" w:cs="仿宋" w:hint="eastAsia"/>
          <w:bCs/>
          <w:sz w:val="30"/>
          <w:szCs w:val="30"/>
        </w:rPr>
        <w:t>2025</w:t>
      </w:r>
      <w:r w:rsidR="007F3236">
        <w:rPr>
          <w:rFonts w:ascii="Times New Roman" w:eastAsia="仿宋" w:hAnsi="Times New Roman" w:cs="仿宋" w:hint="eastAsia"/>
          <w:bCs/>
          <w:sz w:val="30"/>
          <w:szCs w:val="30"/>
        </w:rPr>
        <w:t>年）是我国全面建成小康社会、实现第一个百年奋斗目标之后，乘势而上开启全面建设社会主义现代化国家新征程、向第二个百年奋斗目标进军的第一个五年，也是我市进一步找准在全区的发展定位，坚决走好以生态优先、绿色发展为导向的高质量发展新路子，实现新的更大发展的关键时期。根据《乌海市委关于制定国民经济和社会发展第十四</w:t>
      </w:r>
      <w:r w:rsidR="007F3236">
        <w:rPr>
          <w:rFonts w:ascii="Times New Roman" w:eastAsia="仿宋" w:hAnsi="Times New Roman" w:cs="仿宋" w:hint="eastAsia"/>
          <w:bCs/>
          <w:spacing w:val="6"/>
          <w:sz w:val="30"/>
          <w:szCs w:val="30"/>
        </w:rPr>
        <w:t>个五年规划和二〇三五年远景目标的建议》，制定形成《乌海市国民经济和社会发展第十四个五年规划和</w:t>
      </w:r>
      <w:r w:rsidR="007F3236">
        <w:rPr>
          <w:rFonts w:ascii="Times New Roman" w:eastAsia="仿宋" w:hAnsi="Times New Roman" w:cs="仿宋" w:hint="eastAsia"/>
          <w:bCs/>
          <w:spacing w:val="6"/>
          <w:sz w:val="30"/>
          <w:szCs w:val="30"/>
        </w:rPr>
        <w:t>2035</w:t>
      </w:r>
      <w:r w:rsidR="007F3236">
        <w:rPr>
          <w:rFonts w:ascii="Times New Roman" w:eastAsia="仿宋" w:hAnsi="Times New Roman" w:cs="仿宋" w:hint="eastAsia"/>
          <w:bCs/>
          <w:spacing w:val="6"/>
          <w:sz w:val="30"/>
          <w:szCs w:val="30"/>
        </w:rPr>
        <w:t>年远景目标纲要》。</w:t>
      </w:r>
    </w:p>
    <w:p w:rsidR="001328A6" w:rsidRDefault="001328A6">
      <w:pPr>
        <w:pStyle w:val="a0"/>
        <w:overflowPunct w:val="0"/>
        <w:spacing w:before="0" w:after="0" w:line="580" w:lineRule="exact"/>
        <w:outlineLvl w:val="9"/>
        <w:rPr>
          <w:rFonts w:ascii="Times New Roman" w:eastAsia="仿宋" w:hAnsi="Times New Roman" w:cs="Times New Roman"/>
          <w:b w:val="0"/>
        </w:rPr>
      </w:pPr>
    </w:p>
    <w:p w:rsidR="001328A6" w:rsidRDefault="007F3236">
      <w:pPr>
        <w:numPr>
          <w:ilvl w:val="0"/>
          <w:numId w:val="1"/>
        </w:numPr>
        <w:pBdr>
          <w:top w:val="none" w:sz="0" w:space="1" w:color="auto"/>
          <w:left w:val="none" w:sz="0" w:space="4" w:color="auto"/>
          <w:bottom w:val="none" w:sz="0" w:space="1" w:color="auto"/>
          <w:right w:val="none" w:sz="0" w:space="4" w:color="auto"/>
        </w:pBdr>
        <w:overflowPunct w:val="0"/>
        <w:spacing w:line="580" w:lineRule="exact"/>
        <w:jc w:val="center"/>
        <w:outlineLvl w:val="0"/>
        <w:rPr>
          <w:rFonts w:ascii="方正小标宋简体" w:eastAsia="方正小标宋简体" w:hAnsi="方正小标宋简体" w:cs="方正小标宋简体"/>
          <w:bCs/>
          <w:sz w:val="32"/>
          <w:szCs w:val="32"/>
        </w:rPr>
      </w:pPr>
      <w:bookmarkStart w:id="3" w:name="_Toc28384"/>
      <w:bookmarkStart w:id="4" w:name="_Toc16300"/>
      <w:bookmarkEnd w:id="0"/>
      <w:bookmarkEnd w:id="1"/>
      <w:bookmarkEnd w:id="2"/>
      <w:r>
        <w:rPr>
          <w:rFonts w:ascii="方正小标宋简体" w:eastAsia="方正小标宋简体" w:hAnsi="方正小标宋简体" w:cs="方正小标宋简体" w:hint="eastAsia"/>
          <w:bCs/>
          <w:sz w:val="32"/>
          <w:szCs w:val="32"/>
        </w:rPr>
        <w:t>全面建成小康社会开启现代化建设新征程</w:t>
      </w:r>
      <w:bookmarkEnd w:id="3"/>
      <w:bookmarkEnd w:id="4"/>
    </w:p>
    <w:p w:rsidR="001328A6" w:rsidRDefault="001328A6">
      <w:pPr>
        <w:overflowPunct w:val="0"/>
        <w:spacing w:line="580" w:lineRule="exact"/>
        <w:rPr>
          <w:rFonts w:ascii="Times New Roman" w:eastAsia="仿宋" w:hAnsi="Times New Roman" w:cs="Times New Roman"/>
          <w:bCs/>
          <w:sz w:val="32"/>
        </w:rPr>
      </w:pPr>
    </w:p>
    <w:p w:rsidR="001328A6" w:rsidRDefault="007F3236">
      <w:pPr>
        <w:numPr>
          <w:ilvl w:val="0"/>
          <w:numId w:val="2"/>
        </w:numPr>
        <w:pBdr>
          <w:top w:val="none" w:sz="0" w:space="1" w:color="auto"/>
          <w:left w:val="none" w:sz="0" w:space="4" w:color="auto"/>
          <w:bottom w:val="none" w:sz="0" w:space="1" w:color="auto"/>
          <w:right w:val="none" w:sz="0" w:space="4" w:color="auto"/>
        </w:pBdr>
        <w:overflowPunct w:val="0"/>
        <w:spacing w:line="580" w:lineRule="exact"/>
        <w:jc w:val="center"/>
        <w:outlineLvl w:val="1"/>
        <w:rPr>
          <w:rFonts w:ascii="Times New Roman" w:eastAsia="黑体" w:hAnsi="Times New Roman" w:cs="黑体"/>
          <w:bCs/>
          <w:sz w:val="32"/>
          <w:szCs w:val="36"/>
        </w:rPr>
      </w:pPr>
      <w:bookmarkStart w:id="5" w:name="_Toc20571"/>
      <w:bookmarkStart w:id="6" w:name="_Toc3900"/>
      <w:bookmarkStart w:id="7" w:name="_Toc9464"/>
      <w:bookmarkStart w:id="8" w:name="_Toc13092"/>
      <w:bookmarkStart w:id="9" w:name="_Toc4863"/>
      <w:r>
        <w:rPr>
          <w:rFonts w:ascii="Times New Roman" w:eastAsia="黑体" w:hAnsi="Times New Roman" w:cs="黑体" w:hint="eastAsia"/>
          <w:bCs/>
          <w:sz w:val="32"/>
          <w:szCs w:val="36"/>
        </w:rPr>
        <w:t>立足新起点</w:t>
      </w:r>
      <w:bookmarkEnd w:id="5"/>
      <w:bookmarkEnd w:id="6"/>
      <w:bookmarkEnd w:id="7"/>
      <w:r>
        <w:rPr>
          <w:rFonts w:ascii="Times New Roman" w:eastAsia="黑体" w:hAnsi="Times New Roman" w:cs="黑体" w:hint="eastAsia"/>
          <w:bCs/>
          <w:sz w:val="32"/>
          <w:szCs w:val="36"/>
        </w:rPr>
        <w:t>把握发展新阶段新市情</w:t>
      </w:r>
      <w:bookmarkEnd w:id="8"/>
      <w:bookmarkEnd w:id="9"/>
    </w:p>
    <w:p w:rsidR="001328A6" w:rsidRDefault="001328A6">
      <w:pPr>
        <w:overflowPunct w:val="0"/>
        <w:spacing w:line="580" w:lineRule="exact"/>
        <w:rPr>
          <w:rFonts w:ascii="Times New Roman" w:eastAsia="仿宋" w:hAnsi="Times New Roman" w:cs="仿宋"/>
          <w:bCs/>
          <w:sz w:val="32"/>
          <w:szCs w:val="32"/>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z w:val="30"/>
          <w:szCs w:val="30"/>
        </w:rPr>
        <w:lastRenderedPageBreak/>
        <w:t>“十三五”时期，面对复杂多变的外部环境、艰巨繁重的改革发展稳定任务特别是新冠肺炎疫情的严重冲击，我市以习近平新时代中国特色社会主义思想为指导，贯彻落实习近平总书记对内蒙古重要讲话重要指示批示精神，围绕全面建成小康社会目标攻坚决胜，坚持新发展理念，坚持改革开放，统筹推进“五位一体”总体布局，协调推进“四个全面”战略布局，全面落实党中央决策部署和自治区工作要求，抓好稳增长、促改革、调结构、惠民生、防风险、保稳定各项工作，打好“三大攻坚战”，统筹新冠肺炎疫情防控，做好“六稳”工作，落实“六保”任务，确保“五区”建设扎实推进，高质量发展新动能加速集聚，经济社会保持平稳健康发展，决胜全面建成小康社会取得决定性成就，各项事业发展跨上新台阶，为“十四五”开启现代化建设新征程奠定坚实基础。</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Times New Roman"/>
          <w:bCs/>
          <w:sz w:val="32"/>
          <w:szCs w:val="32"/>
        </w:rPr>
      </w:pPr>
      <w:bookmarkStart w:id="10" w:name="_Toc27456"/>
    </w:p>
    <w:p w:rsidR="001328A6" w:rsidRDefault="007F3236">
      <w:pPr>
        <w:numPr>
          <w:ilvl w:val="0"/>
          <w:numId w:val="3"/>
        </w:num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11" w:name="_Toc8116"/>
      <w:r>
        <w:rPr>
          <w:rFonts w:ascii="Times New Roman" w:eastAsia="楷体" w:hAnsi="Times New Roman" w:cs="楷体" w:hint="eastAsia"/>
          <w:bCs/>
          <w:sz w:val="32"/>
          <w:szCs w:val="32"/>
        </w:rPr>
        <w:t>“十三五”时期经济社会发展成效</w:t>
      </w:r>
      <w:bookmarkEnd w:id="10"/>
      <w:bookmarkEnd w:id="11"/>
    </w:p>
    <w:p w:rsidR="001328A6" w:rsidRDefault="001328A6">
      <w:pPr>
        <w:pStyle w:val="a0"/>
        <w:spacing w:before="0" w:after="0" w:line="580" w:lineRule="exact"/>
        <w:jc w:val="both"/>
        <w:outlineLvl w:val="9"/>
        <w:rPr>
          <w:rFonts w:ascii="Times New Roman" w:eastAsia="仿宋" w:hAnsi="Times New Roman"/>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640"/>
        <w:rPr>
          <w:rFonts w:ascii="Times New Roman" w:eastAsia="仿宋" w:hAnsi="Times New Roman" w:cs="Times New Roman"/>
          <w:bCs/>
          <w:sz w:val="30"/>
          <w:szCs w:val="30"/>
        </w:rPr>
      </w:pPr>
      <w:r>
        <w:rPr>
          <w:rFonts w:ascii="Times New Roman" w:eastAsia="仿宋" w:hAnsi="Times New Roman" w:cs="Times New Roman"/>
          <w:bCs/>
          <w:sz w:val="30"/>
          <w:szCs w:val="30"/>
        </w:rPr>
        <w:t>着力强保护，生态质量得到新提升。生态环保攻坚区建设成效显著，深入实施乌海湖东岸绿化提质、甘德尔山造林提升、城区道路绿化等一批工程，龙游湾湿地晋升为</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国家湿地公园</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。顺利完成污染防治攻坚战阶段性目标任务，累计投入大气环境综合整治资金近</w:t>
      </w:r>
      <w:r>
        <w:rPr>
          <w:rFonts w:ascii="Times New Roman" w:eastAsia="仿宋" w:hAnsi="Times New Roman" w:cs="Times New Roman"/>
          <w:bCs/>
          <w:sz w:val="30"/>
          <w:szCs w:val="30"/>
        </w:rPr>
        <w:t>200</w:t>
      </w:r>
      <w:r>
        <w:rPr>
          <w:rFonts w:ascii="Times New Roman" w:eastAsia="仿宋" w:hAnsi="Times New Roman" w:cs="Times New Roman"/>
          <w:bCs/>
          <w:sz w:val="30"/>
          <w:szCs w:val="30"/>
        </w:rPr>
        <w:t>亿元，建成</w:t>
      </w:r>
      <w:r>
        <w:rPr>
          <w:rFonts w:ascii="Times New Roman" w:eastAsia="仿宋" w:hAnsi="Times New Roman" w:cs="Times New Roman"/>
          <w:bCs/>
          <w:sz w:val="30"/>
          <w:szCs w:val="30"/>
        </w:rPr>
        <w:t>14</w:t>
      </w:r>
      <w:r>
        <w:rPr>
          <w:rFonts w:ascii="Times New Roman" w:eastAsia="仿宋" w:hAnsi="Times New Roman" w:cs="Times New Roman"/>
          <w:bCs/>
          <w:sz w:val="30"/>
          <w:szCs w:val="30"/>
        </w:rPr>
        <w:t>座自治区级绿色矿山，燃煤发电机组全部完成超低排放改造，焦化、钢铁、水泥、铁合金等重点行业全部实行大气污染物特别排放限值标准。</w:t>
      </w:r>
      <w:r>
        <w:rPr>
          <w:rFonts w:ascii="Times New Roman" w:eastAsia="仿宋" w:hAnsi="Times New Roman" w:cs="Times New Roman"/>
          <w:bCs/>
          <w:sz w:val="30"/>
          <w:szCs w:val="30"/>
        </w:rPr>
        <w:t>2020</w:t>
      </w:r>
      <w:r>
        <w:rPr>
          <w:rFonts w:ascii="Times New Roman" w:eastAsia="仿宋" w:hAnsi="Times New Roman" w:cs="Times New Roman"/>
          <w:bCs/>
          <w:sz w:val="30"/>
          <w:szCs w:val="30"/>
        </w:rPr>
        <w:t>年中心城区环境空气质量达标</w:t>
      </w:r>
      <w:r>
        <w:rPr>
          <w:rFonts w:ascii="Times New Roman" w:eastAsia="仿宋" w:hAnsi="Times New Roman" w:cs="Times New Roman"/>
          <w:bCs/>
          <w:sz w:val="30"/>
          <w:szCs w:val="30"/>
        </w:rPr>
        <w:lastRenderedPageBreak/>
        <w:t>率为</w:t>
      </w:r>
      <w:r>
        <w:rPr>
          <w:rFonts w:ascii="Times New Roman" w:eastAsia="仿宋" w:hAnsi="Times New Roman" w:cs="Times New Roman"/>
          <w:bCs/>
          <w:sz w:val="30"/>
          <w:szCs w:val="30"/>
        </w:rPr>
        <w:t>83.1%</w:t>
      </w:r>
      <w:r>
        <w:rPr>
          <w:rFonts w:ascii="Times New Roman" w:eastAsia="仿宋" w:hAnsi="Times New Roman" w:cs="Times New Roman"/>
          <w:bCs/>
          <w:sz w:val="30"/>
          <w:szCs w:val="30"/>
        </w:rPr>
        <w:t>，细颗粒物浓度达到历史最好水平。水环境质量保持稳定，城镇污水处理厂全部达到一级</w:t>
      </w:r>
      <w:r>
        <w:rPr>
          <w:rFonts w:ascii="Times New Roman" w:eastAsia="仿宋" w:hAnsi="Times New Roman" w:cs="Times New Roman"/>
          <w:bCs/>
          <w:sz w:val="30"/>
          <w:szCs w:val="30"/>
        </w:rPr>
        <w:t>A</w:t>
      </w:r>
      <w:r>
        <w:rPr>
          <w:rFonts w:ascii="Times New Roman" w:eastAsia="仿宋" w:hAnsi="Times New Roman" w:cs="Times New Roman"/>
          <w:bCs/>
          <w:sz w:val="30"/>
          <w:szCs w:val="30"/>
        </w:rPr>
        <w:t>排放标准，黄河乌海段水质达到</w:t>
      </w:r>
      <w:r>
        <w:rPr>
          <w:rFonts w:ascii="Times New Roman" w:eastAsia="仿宋" w:hAnsi="Times New Roman" w:cs="Times New Roman"/>
          <w:bCs/>
          <w:sz w:val="30"/>
          <w:szCs w:val="30"/>
        </w:rPr>
        <w:t>Ⅱ</w:t>
      </w:r>
      <w:r>
        <w:rPr>
          <w:rFonts w:ascii="Times New Roman" w:eastAsia="仿宋" w:hAnsi="Times New Roman" w:cs="Times New Roman"/>
          <w:bCs/>
          <w:sz w:val="30"/>
          <w:szCs w:val="30"/>
        </w:rPr>
        <w:t>类标准。土壤环境质量总体稳定。</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640"/>
        <w:rPr>
          <w:rFonts w:ascii="Times New Roman" w:eastAsia="仿宋" w:hAnsi="Times New Roman" w:cs="Times New Roman"/>
          <w:bCs/>
          <w:sz w:val="30"/>
          <w:szCs w:val="30"/>
        </w:rPr>
      </w:pPr>
      <w:r>
        <w:rPr>
          <w:rFonts w:ascii="Times New Roman" w:eastAsia="仿宋" w:hAnsi="Times New Roman" w:cs="Times New Roman"/>
          <w:bCs/>
          <w:sz w:val="30"/>
          <w:szCs w:val="30"/>
        </w:rPr>
        <w:t>着力稳增长，经济发展迈上新台阶。面对经济下行、市场低迷、企业经营困难等多方面挑战，多措并举推动经济平稳增长，一批体现新发展理念、契合高质量发展要求的重大项目成功实施，</w:t>
      </w:r>
      <w:r>
        <w:rPr>
          <w:rFonts w:ascii="Times New Roman" w:eastAsia="仿宋" w:hAnsi="Times New Roman" w:cs="Times New Roman"/>
          <w:bCs/>
          <w:sz w:val="30"/>
          <w:szCs w:val="30"/>
        </w:rPr>
        <w:t>14</w:t>
      </w:r>
      <w:r>
        <w:rPr>
          <w:rFonts w:ascii="Times New Roman" w:eastAsia="仿宋" w:hAnsi="Times New Roman" w:cs="Times New Roman"/>
          <w:bCs/>
          <w:sz w:val="30"/>
          <w:szCs w:val="30"/>
        </w:rPr>
        <w:t>家企业入围内蒙古民营企业</w:t>
      </w:r>
      <w:r>
        <w:rPr>
          <w:rFonts w:ascii="Times New Roman" w:eastAsia="仿宋" w:hAnsi="Times New Roman" w:cs="Times New Roman"/>
          <w:bCs/>
          <w:sz w:val="30"/>
          <w:szCs w:val="30"/>
        </w:rPr>
        <w:t>100</w:t>
      </w:r>
      <w:r>
        <w:rPr>
          <w:rFonts w:ascii="Times New Roman" w:eastAsia="仿宋" w:hAnsi="Times New Roman" w:cs="Times New Roman"/>
          <w:bCs/>
          <w:sz w:val="30"/>
          <w:szCs w:val="30"/>
        </w:rPr>
        <w:t>强。地区生产总值年均增长</w:t>
      </w:r>
      <w:r>
        <w:rPr>
          <w:rFonts w:ascii="Times New Roman" w:eastAsia="仿宋" w:hAnsi="Times New Roman" w:cs="Times New Roman"/>
          <w:bCs/>
          <w:sz w:val="30"/>
          <w:szCs w:val="30"/>
        </w:rPr>
        <w:t>7</w:t>
      </w:r>
      <w:r>
        <w:rPr>
          <w:rFonts w:ascii="Times New Roman" w:eastAsia="仿宋" w:hAnsi="Times New Roman" w:cs="Times New Roman" w:hint="eastAsia"/>
          <w:bCs/>
          <w:sz w:val="30"/>
          <w:szCs w:val="30"/>
        </w:rPr>
        <w:t>.5</w:t>
      </w:r>
      <w:r>
        <w:rPr>
          <w:rFonts w:ascii="Times New Roman" w:eastAsia="仿宋" w:hAnsi="Times New Roman" w:cs="Times New Roman"/>
          <w:bCs/>
          <w:sz w:val="30"/>
          <w:szCs w:val="30"/>
        </w:rPr>
        <w:t>%</w:t>
      </w:r>
      <w:r>
        <w:rPr>
          <w:rFonts w:ascii="Times New Roman" w:eastAsia="仿宋" w:hAnsi="Times New Roman" w:cs="Times New Roman"/>
          <w:bCs/>
          <w:sz w:val="30"/>
          <w:szCs w:val="30"/>
        </w:rPr>
        <w:t>，规模以上工业增加值年均增长</w:t>
      </w:r>
      <w:r>
        <w:rPr>
          <w:rFonts w:ascii="Times New Roman" w:eastAsia="仿宋" w:hAnsi="Times New Roman" w:cs="Times New Roman"/>
          <w:bCs/>
          <w:sz w:val="30"/>
          <w:szCs w:val="30"/>
        </w:rPr>
        <w:t>15</w:t>
      </w:r>
      <w:r>
        <w:rPr>
          <w:rFonts w:ascii="Times New Roman" w:eastAsia="仿宋" w:hAnsi="Times New Roman" w:cs="Times New Roman" w:hint="eastAsia"/>
          <w:bCs/>
          <w:sz w:val="30"/>
          <w:szCs w:val="30"/>
        </w:rPr>
        <w:t>.4</w:t>
      </w:r>
      <w:r>
        <w:rPr>
          <w:rFonts w:ascii="Times New Roman" w:eastAsia="仿宋" w:hAnsi="Times New Roman" w:cs="Times New Roman"/>
          <w:bCs/>
          <w:sz w:val="30"/>
          <w:szCs w:val="30"/>
        </w:rPr>
        <w:t>%</w:t>
      </w:r>
      <w:r>
        <w:rPr>
          <w:rFonts w:ascii="Times New Roman" w:eastAsia="仿宋" w:hAnsi="Times New Roman" w:cs="Times New Roman"/>
          <w:bCs/>
          <w:sz w:val="30"/>
          <w:szCs w:val="30"/>
        </w:rPr>
        <w:t>，固定资产投资总额年均增长</w:t>
      </w:r>
      <w:r>
        <w:rPr>
          <w:rFonts w:ascii="Times New Roman" w:eastAsia="仿宋" w:hAnsi="Times New Roman" w:cs="Times New Roman"/>
          <w:bCs/>
          <w:sz w:val="30"/>
          <w:szCs w:val="30"/>
        </w:rPr>
        <w:t>2.</w:t>
      </w:r>
      <w:r>
        <w:rPr>
          <w:rFonts w:ascii="Times New Roman" w:eastAsia="仿宋" w:hAnsi="Times New Roman" w:cs="Times New Roman" w:hint="eastAsia"/>
          <w:bCs/>
          <w:sz w:val="30"/>
          <w:szCs w:val="30"/>
        </w:rPr>
        <w:t>7</w:t>
      </w:r>
      <w:r>
        <w:rPr>
          <w:rFonts w:ascii="Times New Roman" w:eastAsia="仿宋" w:hAnsi="Times New Roman" w:cs="Times New Roman"/>
          <w:bCs/>
          <w:sz w:val="30"/>
          <w:szCs w:val="30"/>
        </w:rPr>
        <w:t>%</w:t>
      </w:r>
      <w:r>
        <w:rPr>
          <w:rFonts w:ascii="Times New Roman" w:eastAsia="仿宋" w:hAnsi="Times New Roman" w:cs="Times New Roman"/>
          <w:bCs/>
          <w:sz w:val="30"/>
          <w:szCs w:val="30"/>
        </w:rPr>
        <w:t>，一般公共预算收入</w:t>
      </w:r>
      <w:r>
        <w:rPr>
          <w:rFonts w:ascii="Times New Roman" w:eastAsia="仿宋" w:hAnsi="Times New Roman" w:cs="Times New Roman" w:hint="eastAsia"/>
          <w:bCs/>
          <w:sz w:val="30"/>
          <w:szCs w:val="30"/>
        </w:rPr>
        <w:t>持续增长</w:t>
      </w:r>
      <w:r>
        <w:rPr>
          <w:rFonts w:ascii="Times New Roman" w:eastAsia="仿宋" w:hAnsi="Times New Roman" w:cs="Times New Roman"/>
          <w:bCs/>
          <w:sz w:val="30"/>
          <w:szCs w:val="30"/>
        </w:rPr>
        <w:t>，政府债务稳步化解，各类风险有效防控。煤炭就地加工转化率达</w:t>
      </w:r>
      <w:r>
        <w:rPr>
          <w:rFonts w:ascii="Times New Roman" w:eastAsia="仿宋" w:hAnsi="Times New Roman" w:cs="Times New Roman"/>
          <w:bCs/>
          <w:sz w:val="30"/>
          <w:szCs w:val="30"/>
        </w:rPr>
        <w:t>90%</w:t>
      </w:r>
      <w:r>
        <w:rPr>
          <w:rFonts w:ascii="Times New Roman" w:eastAsia="仿宋" w:hAnsi="Times New Roman" w:cs="Times New Roman"/>
          <w:bCs/>
          <w:sz w:val="30"/>
          <w:szCs w:val="30"/>
        </w:rPr>
        <w:t>以上，战略性新兴产业增加值占工业增加值比重达到</w:t>
      </w:r>
      <w:r>
        <w:rPr>
          <w:rFonts w:ascii="Times New Roman" w:eastAsia="仿宋" w:hAnsi="Times New Roman" w:cs="Times New Roman"/>
          <w:bCs/>
          <w:sz w:val="30"/>
          <w:szCs w:val="30"/>
        </w:rPr>
        <w:t>10.1%</w:t>
      </w:r>
      <w:r>
        <w:rPr>
          <w:rFonts w:ascii="Times New Roman" w:eastAsia="仿宋" w:hAnsi="Times New Roman" w:cs="Times New Roman"/>
          <w:bCs/>
          <w:sz w:val="30"/>
          <w:szCs w:val="30"/>
        </w:rPr>
        <w:t>，人均地区生产总值超过</w:t>
      </w:r>
      <w:r>
        <w:rPr>
          <w:rFonts w:ascii="Times New Roman" w:eastAsia="仿宋" w:hAnsi="Times New Roman" w:cs="Times New Roman"/>
          <w:bCs/>
          <w:sz w:val="30"/>
          <w:szCs w:val="30"/>
        </w:rPr>
        <w:t>1.5</w:t>
      </w:r>
      <w:r>
        <w:rPr>
          <w:rFonts w:ascii="Times New Roman" w:eastAsia="仿宋" w:hAnsi="Times New Roman" w:cs="Times New Roman"/>
          <w:bCs/>
          <w:sz w:val="30"/>
          <w:szCs w:val="30"/>
        </w:rPr>
        <w:t>万美元，人均财力达到</w:t>
      </w:r>
      <w:r>
        <w:rPr>
          <w:rFonts w:ascii="Times New Roman" w:eastAsia="仿宋" w:hAnsi="Times New Roman" w:cs="Times New Roman"/>
          <w:bCs/>
          <w:sz w:val="30"/>
          <w:szCs w:val="30"/>
        </w:rPr>
        <w:t>1.1</w:t>
      </w:r>
      <w:r>
        <w:rPr>
          <w:rFonts w:ascii="Times New Roman" w:eastAsia="仿宋" w:hAnsi="Times New Roman" w:cs="Times New Roman"/>
          <w:bCs/>
          <w:sz w:val="30"/>
          <w:szCs w:val="30"/>
        </w:rPr>
        <w:t>万元。</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着力锻支柱，产业转型实现新突破。以转型发展示范区建设为目标，以</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五转</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工作思路为抓手，支持国家能源集团乌海能源公司在逆境中成功改革脱困，推动建龙包钢万腾等重点支柱企业整合重组，氢基熔融还原铁项目基本建成，传统产业不断向高端化、精细化迈进；卡博特、京运通、奥立等一批新材料项目建成投产，全国首座民用液氢工厂和全区首座加氢站投入使用，氢经济示范城市建设成功破题。万达广场、红星美凯龙等商贸综合体投入运营，乌海北货场、唐山港</w:t>
      </w:r>
      <w:r>
        <w:rPr>
          <w:rFonts w:ascii="Times New Roman" w:eastAsia="仿宋" w:hAnsi="Times New Roman" w:cs="Times New Roman"/>
          <w:b/>
          <w:spacing w:val="-34"/>
          <w:sz w:val="30"/>
          <w:szCs w:val="30"/>
        </w:rPr>
        <w:t>·</w:t>
      </w:r>
      <w:r>
        <w:rPr>
          <w:rFonts w:ascii="Times New Roman" w:eastAsia="仿宋" w:hAnsi="Times New Roman" w:cs="Times New Roman"/>
          <w:bCs/>
          <w:sz w:val="30"/>
          <w:szCs w:val="30"/>
        </w:rPr>
        <w:t>乌海内陆港建成投运，区域商贸流通服务中心建设初见成效；乌海湖（景区）获评国家级水利风景区，新增</w:t>
      </w:r>
      <w:r>
        <w:rPr>
          <w:rFonts w:ascii="Times New Roman" w:eastAsia="仿宋" w:hAnsi="Times New Roman" w:cs="Times New Roman"/>
          <w:bCs/>
          <w:sz w:val="30"/>
          <w:szCs w:val="30"/>
        </w:rPr>
        <w:t>4A</w:t>
      </w:r>
      <w:r>
        <w:rPr>
          <w:rFonts w:ascii="Times New Roman" w:eastAsia="仿宋" w:hAnsi="Times New Roman" w:cs="Times New Roman"/>
          <w:bCs/>
          <w:sz w:val="30"/>
          <w:szCs w:val="30"/>
        </w:rPr>
        <w:t>级</w:t>
      </w:r>
      <w:r>
        <w:rPr>
          <w:rFonts w:ascii="Times New Roman" w:eastAsia="仿宋" w:hAnsi="Times New Roman" w:cs="Times New Roman" w:hint="eastAsia"/>
          <w:bCs/>
          <w:sz w:val="30"/>
          <w:szCs w:val="30"/>
        </w:rPr>
        <w:t>旅游</w:t>
      </w:r>
      <w:r>
        <w:rPr>
          <w:rFonts w:ascii="Times New Roman" w:eastAsia="仿宋" w:hAnsi="Times New Roman" w:cs="Times New Roman"/>
          <w:bCs/>
          <w:sz w:val="30"/>
          <w:szCs w:val="30"/>
        </w:rPr>
        <w:t>景区</w:t>
      </w:r>
      <w:r>
        <w:rPr>
          <w:rFonts w:ascii="Times New Roman" w:eastAsia="仿宋" w:hAnsi="Times New Roman" w:cs="Times New Roman"/>
          <w:bCs/>
          <w:sz w:val="30"/>
          <w:szCs w:val="30"/>
        </w:rPr>
        <w:t>4</w:t>
      </w:r>
      <w:r>
        <w:rPr>
          <w:rFonts w:ascii="Times New Roman" w:eastAsia="仿宋" w:hAnsi="Times New Roman" w:cs="Times New Roman"/>
          <w:bCs/>
          <w:sz w:val="30"/>
          <w:szCs w:val="30"/>
        </w:rPr>
        <w:t>家，</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大漠湖城</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成为城市亮丽名片，甘德尔山生态文明</w:t>
      </w:r>
      <w:r>
        <w:rPr>
          <w:rFonts w:ascii="Times New Roman" w:eastAsia="仿宋" w:hAnsi="Times New Roman" w:cs="Times New Roman"/>
          <w:bCs/>
          <w:sz w:val="30"/>
          <w:szCs w:val="30"/>
        </w:rPr>
        <w:lastRenderedPageBreak/>
        <w:t>景区投入运营。推进城乡融合先行区建设，聚力农业产业化发展，启动葡萄品牌提升行动，</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乌海葡萄</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入选第三批中国特色农产品优势区、中国农业品牌目录。</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着力惠民生，公共服务取得新成效。脱贫攻坚取得历史性成就，实现与乡村振兴逐步衔接。努力扩大就业创业，城镇登记失业率控制在自治区下达目标范围内，零就业家庭实现动态清零。基本养老、医疗等保险覆盖面不断扩大，退休人员养老金实现</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十五连涨</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。推动优教优医普惠区建设，优质教育资源覆盖面逐年扩大，普惠性幼儿园比例达到</w:t>
      </w:r>
      <w:r>
        <w:rPr>
          <w:rFonts w:ascii="Times New Roman" w:eastAsia="仿宋" w:hAnsi="Times New Roman" w:cs="Times New Roman"/>
          <w:bCs/>
          <w:sz w:val="30"/>
          <w:szCs w:val="30"/>
        </w:rPr>
        <w:t>95.4%</w:t>
      </w:r>
      <w:r>
        <w:rPr>
          <w:rFonts w:ascii="Times New Roman" w:eastAsia="仿宋" w:hAnsi="Times New Roman" w:cs="Times New Roman"/>
          <w:bCs/>
          <w:sz w:val="30"/>
          <w:szCs w:val="30"/>
        </w:rPr>
        <w:t>，全市本科上线率和一本上线率实现</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十连升</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，获评自治区级产教融合示范城市；蒙中医院二期等一批项目建成投用，医疗服务水平不断提升，成为国家公立医院改革试点城市，获得国务院办公厅通报表扬。大力推动</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双城联创</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，国家卫生城市创建成功，市民素质和城市面貌显著提升。全社会保持安全稳定局面。</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着力夯基础，支撑条件取得新巩固。公路、铁路、航空立体交通网络进一步优化。荣乌高速乌海段、</w:t>
      </w:r>
      <w:r>
        <w:rPr>
          <w:rFonts w:ascii="Times New Roman" w:eastAsia="仿宋" w:hAnsi="Times New Roman" w:cs="Times New Roman"/>
          <w:bCs/>
          <w:sz w:val="30"/>
          <w:szCs w:val="30"/>
        </w:rPr>
        <w:t>110</w:t>
      </w:r>
      <w:r>
        <w:rPr>
          <w:rFonts w:ascii="Times New Roman" w:eastAsia="仿宋" w:hAnsi="Times New Roman" w:cs="Times New Roman"/>
          <w:bCs/>
          <w:sz w:val="30"/>
          <w:szCs w:val="30"/>
        </w:rPr>
        <w:t>国道黄河</w:t>
      </w:r>
      <w:r>
        <w:rPr>
          <w:rFonts w:ascii="Times New Roman" w:eastAsia="仿宋" w:hAnsi="Times New Roman" w:cs="Times New Roman" w:hint="eastAsia"/>
          <w:bCs/>
          <w:sz w:val="30"/>
          <w:szCs w:val="30"/>
        </w:rPr>
        <w:t>特</w:t>
      </w:r>
      <w:r>
        <w:rPr>
          <w:rFonts w:ascii="Times New Roman" w:eastAsia="仿宋" w:hAnsi="Times New Roman" w:cs="Times New Roman"/>
          <w:bCs/>
          <w:sz w:val="30"/>
          <w:szCs w:val="30"/>
        </w:rPr>
        <w:t>大桥、甘德尔公铁立交桥等一批项目建成通行，省道</w:t>
      </w:r>
      <w:r>
        <w:rPr>
          <w:rFonts w:ascii="Times New Roman" w:eastAsia="仿宋" w:hAnsi="Times New Roman" w:cs="Times New Roman"/>
          <w:bCs/>
          <w:sz w:val="30"/>
          <w:szCs w:val="30"/>
        </w:rPr>
        <w:t>217</w:t>
      </w:r>
      <w:r>
        <w:rPr>
          <w:rFonts w:ascii="Times New Roman" w:eastAsia="仿宋" w:hAnsi="Times New Roman" w:cs="Times New Roman"/>
          <w:bCs/>
          <w:sz w:val="30"/>
          <w:szCs w:val="30"/>
        </w:rPr>
        <w:t>线</w:t>
      </w:r>
      <w:r>
        <w:rPr>
          <w:rFonts w:ascii="Times New Roman" w:eastAsia="仿宋" w:hAnsi="Times New Roman" w:cs="Times New Roman" w:hint="eastAsia"/>
          <w:bCs/>
          <w:sz w:val="30"/>
          <w:szCs w:val="30"/>
        </w:rPr>
        <w:t>海勃湾</w:t>
      </w:r>
      <w:r>
        <w:rPr>
          <w:rFonts w:ascii="Times New Roman" w:eastAsia="仿宋" w:hAnsi="Times New Roman" w:cs="Times New Roman"/>
          <w:bCs/>
          <w:sz w:val="30"/>
          <w:szCs w:val="30"/>
        </w:rPr>
        <w:t>绕城段加速推进，形成</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四横四纵五桥三路</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的市域对外交通干线。包银高铁乌海段项目基本完成拆迁。北京大兴、</w:t>
      </w:r>
      <w:r>
        <w:rPr>
          <w:rFonts w:ascii="Times New Roman" w:eastAsia="仿宋" w:hAnsi="Times New Roman" w:cs="Times New Roman" w:hint="eastAsia"/>
          <w:bCs/>
          <w:sz w:val="30"/>
          <w:szCs w:val="30"/>
        </w:rPr>
        <w:t>上海</w:t>
      </w:r>
      <w:r>
        <w:rPr>
          <w:rFonts w:ascii="Times New Roman" w:eastAsia="仿宋" w:hAnsi="Times New Roman" w:cs="Times New Roman"/>
          <w:bCs/>
          <w:sz w:val="30"/>
          <w:szCs w:val="30"/>
        </w:rPr>
        <w:t>等多条航线开通，乌海机场旅客年吞吐量突破</w:t>
      </w:r>
      <w:r>
        <w:rPr>
          <w:rFonts w:ascii="Times New Roman" w:eastAsia="仿宋" w:hAnsi="Times New Roman" w:cs="Times New Roman"/>
          <w:bCs/>
          <w:sz w:val="30"/>
          <w:szCs w:val="30"/>
        </w:rPr>
        <w:t>52</w:t>
      </w:r>
      <w:r>
        <w:rPr>
          <w:rFonts w:ascii="Times New Roman" w:eastAsia="仿宋" w:hAnsi="Times New Roman" w:cs="Times New Roman"/>
          <w:bCs/>
          <w:sz w:val="30"/>
          <w:szCs w:val="30"/>
        </w:rPr>
        <w:t>万人次。市政基础设施实现新提升，老旧小区综合改造稳步实施，新建改造供热、供气、供水、污水等管网</w:t>
      </w:r>
      <w:r>
        <w:rPr>
          <w:rFonts w:ascii="Times New Roman" w:eastAsia="仿宋" w:hAnsi="Times New Roman" w:cs="Times New Roman"/>
          <w:bCs/>
          <w:sz w:val="30"/>
          <w:szCs w:val="30"/>
        </w:rPr>
        <w:t>900</w:t>
      </w:r>
      <w:r>
        <w:rPr>
          <w:rFonts w:ascii="Times New Roman" w:eastAsia="仿宋" w:hAnsi="Times New Roman" w:cs="Times New Roman"/>
          <w:bCs/>
          <w:sz w:val="30"/>
          <w:szCs w:val="30"/>
        </w:rPr>
        <w:t>余公里，云计算中心投入使用，电信网络、数据中心等新型基础设</w:t>
      </w:r>
      <w:r>
        <w:rPr>
          <w:rFonts w:ascii="Times New Roman" w:eastAsia="仿宋" w:hAnsi="Times New Roman" w:cs="Times New Roman"/>
          <w:bCs/>
          <w:sz w:val="30"/>
          <w:szCs w:val="30"/>
        </w:rPr>
        <w:lastRenderedPageBreak/>
        <w:t>施加快布局，城市功能更加完善。农区人居环境明显改观，城市发展空间进一步拓展。</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着力抓创新，改革开放呈现新局面。居家和社区养老服务改革成为国家试点，低碳城市试点等</w:t>
      </w:r>
      <w:r>
        <w:rPr>
          <w:rFonts w:ascii="Times New Roman" w:eastAsia="仿宋" w:hAnsi="Times New Roman" w:cs="Times New Roman"/>
          <w:bCs/>
          <w:sz w:val="30"/>
          <w:szCs w:val="30"/>
        </w:rPr>
        <w:t>13</w:t>
      </w:r>
      <w:r>
        <w:rPr>
          <w:rFonts w:ascii="Times New Roman" w:eastAsia="仿宋" w:hAnsi="Times New Roman" w:cs="Times New Roman"/>
          <w:bCs/>
          <w:sz w:val="30"/>
          <w:szCs w:val="30"/>
        </w:rPr>
        <w:t>项国家、自治区改革试点任务进展顺利。以投资贸易首选区建设为抓手，加大</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放管服</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改革力</w:t>
      </w:r>
      <w:r>
        <w:rPr>
          <w:rFonts w:ascii="Times New Roman" w:eastAsia="仿宋" w:hAnsi="Times New Roman" w:cs="Times New Roman"/>
          <w:bCs/>
          <w:spacing w:val="6"/>
          <w:sz w:val="30"/>
          <w:szCs w:val="30"/>
        </w:rPr>
        <w:t>度，</w:t>
      </w:r>
      <w:r>
        <w:rPr>
          <w:rFonts w:ascii="Times New Roman" w:eastAsia="仿宋" w:hAnsi="Times New Roman" w:cs="Times New Roman" w:hint="eastAsia"/>
          <w:bCs/>
          <w:spacing w:val="6"/>
          <w:sz w:val="30"/>
          <w:szCs w:val="30"/>
        </w:rPr>
        <w:t>“</w:t>
      </w:r>
      <w:r>
        <w:rPr>
          <w:rFonts w:ascii="Times New Roman" w:eastAsia="仿宋" w:hAnsi="Times New Roman" w:cs="Times New Roman"/>
          <w:bCs/>
          <w:spacing w:val="6"/>
          <w:sz w:val="30"/>
          <w:szCs w:val="30"/>
        </w:rPr>
        <w:t>网上办</w:t>
      </w:r>
      <w:r>
        <w:rPr>
          <w:rFonts w:ascii="Times New Roman" w:eastAsia="仿宋" w:hAnsi="Times New Roman" w:cs="Times New Roman" w:hint="eastAsia"/>
          <w:bCs/>
          <w:spacing w:val="6"/>
          <w:sz w:val="30"/>
          <w:szCs w:val="30"/>
        </w:rPr>
        <w:t>”</w:t>
      </w:r>
      <w:r>
        <w:rPr>
          <w:rFonts w:ascii="Times New Roman" w:eastAsia="仿宋" w:hAnsi="Times New Roman" w:cs="Times New Roman"/>
          <w:bCs/>
          <w:spacing w:val="6"/>
          <w:sz w:val="30"/>
          <w:szCs w:val="30"/>
        </w:rPr>
        <w:t>事项达到</w:t>
      </w:r>
      <w:r>
        <w:rPr>
          <w:rFonts w:ascii="Times New Roman" w:eastAsia="仿宋" w:hAnsi="Times New Roman" w:cs="Times New Roman"/>
          <w:bCs/>
          <w:spacing w:val="6"/>
          <w:sz w:val="30"/>
          <w:szCs w:val="30"/>
        </w:rPr>
        <w:t>87.5%</w:t>
      </w:r>
      <w:r>
        <w:rPr>
          <w:rFonts w:ascii="Times New Roman" w:eastAsia="仿宋" w:hAnsi="Times New Roman" w:cs="Times New Roman"/>
          <w:bCs/>
          <w:spacing w:val="6"/>
          <w:sz w:val="30"/>
          <w:szCs w:val="30"/>
        </w:rPr>
        <w:t>，企业开办时间压缩至</w:t>
      </w:r>
      <w:r>
        <w:rPr>
          <w:rFonts w:ascii="Times New Roman" w:eastAsia="仿宋" w:hAnsi="Times New Roman" w:cs="Times New Roman"/>
          <w:bCs/>
          <w:spacing w:val="6"/>
          <w:sz w:val="30"/>
          <w:szCs w:val="30"/>
        </w:rPr>
        <w:t>3</w:t>
      </w:r>
      <w:r>
        <w:rPr>
          <w:rFonts w:ascii="Times New Roman" w:eastAsia="仿宋" w:hAnsi="Times New Roman" w:cs="Times New Roman" w:hint="eastAsia"/>
          <w:bCs/>
          <w:spacing w:val="6"/>
          <w:sz w:val="30"/>
          <w:szCs w:val="30"/>
        </w:rPr>
        <w:t>个工作日</w:t>
      </w:r>
      <w:r>
        <w:rPr>
          <w:rFonts w:ascii="Times New Roman" w:eastAsia="仿宋" w:hAnsi="Times New Roman" w:cs="Times New Roman"/>
          <w:bCs/>
          <w:spacing w:val="6"/>
          <w:sz w:val="30"/>
          <w:szCs w:val="30"/>
        </w:rPr>
        <w:t>以内。社会信用体系示范城市创建初见成效，依法治市扎实推进，市域社会治理现代化试点工作有力实施。累计</w:t>
      </w:r>
      <w:r>
        <w:rPr>
          <w:rFonts w:ascii="Times New Roman" w:eastAsia="仿宋" w:hAnsi="Times New Roman" w:cs="Times New Roman" w:hint="eastAsia"/>
          <w:bCs/>
          <w:spacing w:val="6"/>
          <w:sz w:val="30"/>
          <w:szCs w:val="30"/>
        </w:rPr>
        <w:t>创建</w:t>
      </w:r>
      <w:r>
        <w:rPr>
          <w:rFonts w:ascii="Times New Roman" w:eastAsia="仿宋" w:hAnsi="Times New Roman" w:cs="Times New Roman"/>
          <w:bCs/>
          <w:spacing w:val="6"/>
          <w:sz w:val="30"/>
          <w:szCs w:val="30"/>
        </w:rPr>
        <w:t>国家高新技术企业</w:t>
      </w:r>
      <w:r>
        <w:rPr>
          <w:rFonts w:ascii="Times New Roman" w:eastAsia="仿宋" w:hAnsi="Times New Roman" w:cs="Times New Roman"/>
          <w:bCs/>
          <w:spacing w:val="6"/>
          <w:sz w:val="30"/>
          <w:szCs w:val="30"/>
        </w:rPr>
        <w:t>30</w:t>
      </w:r>
      <w:r>
        <w:rPr>
          <w:rFonts w:ascii="Times New Roman" w:eastAsia="仿宋" w:hAnsi="Times New Roman" w:cs="Times New Roman"/>
          <w:bCs/>
          <w:spacing w:val="6"/>
          <w:sz w:val="30"/>
          <w:szCs w:val="30"/>
        </w:rPr>
        <w:t>家、自治区级</w:t>
      </w:r>
      <w:r>
        <w:rPr>
          <w:rFonts w:ascii="Times New Roman" w:eastAsia="仿宋" w:hAnsi="Times New Roman" w:cs="Times New Roman"/>
          <w:bCs/>
          <w:sz w:val="30"/>
          <w:szCs w:val="30"/>
        </w:rPr>
        <w:t>研发中心</w:t>
      </w:r>
      <w:r>
        <w:rPr>
          <w:rFonts w:ascii="Times New Roman" w:eastAsia="仿宋" w:hAnsi="Times New Roman" w:cs="Times New Roman"/>
          <w:bCs/>
          <w:sz w:val="30"/>
          <w:szCs w:val="30"/>
        </w:rPr>
        <w:t>26</w:t>
      </w:r>
      <w:r>
        <w:rPr>
          <w:rFonts w:ascii="Times New Roman" w:eastAsia="仿宋" w:hAnsi="Times New Roman" w:cs="Times New Roman"/>
          <w:bCs/>
          <w:sz w:val="30"/>
          <w:szCs w:val="30"/>
        </w:rPr>
        <w:t>家，建成自治区首家盟市级科创中心。对外开放合作持续扩大，乌海海关正式通关，</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乌蒙欧</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班列开通运行，与</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一带一路</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沿线国家贸易往来日益密切。推动乌海及周边地区转型发展，基础设施共建、大气污染联防联控联治等领域合作持续深化，区域中心城市服务带动功能逐步增强。</w:t>
      </w:r>
    </w:p>
    <w:p w:rsidR="001328A6" w:rsidRDefault="007F3236">
      <w:pPr>
        <w:pBdr>
          <w:top w:val="none" w:sz="0" w:space="1" w:color="auto"/>
          <w:left w:val="none" w:sz="0" w:space="4" w:color="auto"/>
          <w:bottom w:val="none" w:sz="0" w:space="1" w:color="auto"/>
          <w:right w:val="none" w:sz="0" w:space="4" w:color="auto"/>
        </w:pBdr>
        <w:overflowPunct w:val="0"/>
        <w:spacing w:line="556"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着力强党性，政治建设取得新成果。以党的政治建设为统领，扎实推进党的各方面建设，深入开展</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不忘初心、牢记使命</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主题教育，推进</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两学一做</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学习教育常态化制度化，教育引导广大党员干部增强</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四个意识</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、坚定</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四个自信</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、做到</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两个维护</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，为全市经济社会高质量发展提供坚强保证</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贯彻好干部标准，进一步树立正确选人用人导向，忠诚干净担当的高素质专业化干部队伍建设有效推进。基层党建质量有效提升。驰而不息正风肃纪，煤炭资源领域违规违法问题专项整治取得重要成果，深化以案促改、净化政治生态专项行动扎实推进，巩固发展反腐败斗争压倒性胜利，</w:t>
      </w:r>
      <w:r>
        <w:rPr>
          <w:rFonts w:ascii="Times New Roman" w:eastAsia="仿宋" w:hAnsi="Times New Roman" w:cs="Times New Roman"/>
          <w:bCs/>
          <w:sz w:val="30"/>
          <w:szCs w:val="30"/>
        </w:rPr>
        <w:lastRenderedPageBreak/>
        <w:t>政治生态不断优化。加强党对经济社会发展全局工作的领导，人大及其常委会依法行使职权，推进人民政治协商民主建设，团结引导党外知识分子和非公有制经济人士，切实发挥群团组织桥梁纽带作用，社会主义民主政治建设不断巩固发展。加强中国梦和社会主义核心价值观宣传教育，意识形态领域保持总体稳定。</w:t>
      </w:r>
    </w:p>
    <w:p w:rsidR="001328A6" w:rsidRDefault="007F3236">
      <w:pPr>
        <w:rPr>
          <w:rFonts w:ascii="Times New Roman" w:eastAsia="仿宋" w:hAnsi="Times New Roman" w:cs="Times New Roman"/>
          <w:bCs/>
          <w:sz w:val="32"/>
          <w:szCs w:val="32"/>
        </w:rPr>
      </w:pPr>
      <w:bookmarkStart w:id="12" w:name="_Toc11922"/>
      <w:r>
        <w:rPr>
          <w:rFonts w:ascii="Times New Roman" w:eastAsia="仿宋" w:hAnsi="Times New Roman" w:cs="Times New Roman"/>
          <w:bCs/>
          <w:sz w:val="32"/>
          <w:szCs w:val="32"/>
        </w:rPr>
        <w:br w:type="page"/>
      </w:r>
    </w:p>
    <w:p w:rsidR="001328A6" w:rsidRDefault="007F3236">
      <w:pPr>
        <w:numPr>
          <w:ilvl w:val="0"/>
          <w:numId w:val="3"/>
        </w:numPr>
        <w:pBdr>
          <w:top w:val="none" w:sz="0" w:space="1" w:color="auto"/>
          <w:left w:val="none" w:sz="0" w:space="4" w:color="auto"/>
          <w:bottom w:val="none" w:sz="0" w:space="1" w:color="auto"/>
          <w:right w:val="none" w:sz="0" w:space="4" w:color="auto"/>
        </w:pBdr>
        <w:overflowPunct w:val="0"/>
        <w:spacing w:line="556" w:lineRule="exact"/>
        <w:jc w:val="center"/>
        <w:outlineLvl w:val="2"/>
        <w:rPr>
          <w:rFonts w:ascii="Times New Roman" w:eastAsia="楷体" w:hAnsi="Times New Roman" w:cs="楷体"/>
          <w:bCs/>
          <w:sz w:val="32"/>
          <w:szCs w:val="32"/>
        </w:rPr>
      </w:pPr>
      <w:bookmarkStart w:id="13" w:name="_Toc27914"/>
      <w:r>
        <w:rPr>
          <w:rFonts w:ascii="Times New Roman" w:eastAsia="楷体" w:hAnsi="Times New Roman" w:cs="楷体" w:hint="eastAsia"/>
          <w:bCs/>
          <w:sz w:val="32"/>
          <w:szCs w:val="32"/>
        </w:rPr>
        <w:lastRenderedPageBreak/>
        <w:t>“十三五”时期经济社会发展存在问题</w:t>
      </w:r>
      <w:bookmarkEnd w:id="12"/>
      <w:bookmarkEnd w:id="13"/>
    </w:p>
    <w:p w:rsidR="001328A6" w:rsidRDefault="001328A6">
      <w:pPr>
        <w:pStyle w:val="a0"/>
        <w:overflowPunct w:val="0"/>
        <w:spacing w:before="0" w:after="0" w:line="556" w:lineRule="exact"/>
        <w:jc w:val="both"/>
        <w:outlineLvl w:val="9"/>
        <w:rPr>
          <w:rFonts w:ascii="Times New Roman" w:eastAsia="仿宋" w:hAnsi="Times New Roman"/>
        </w:rPr>
      </w:pPr>
    </w:p>
    <w:p w:rsidR="001328A6" w:rsidRDefault="007F3236">
      <w:pPr>
        <w:pBdr>
          <w:top w:val="none" w:sz="0" w:space="1" w:color="auto"/>
          <w:left w:val="none" w:sz="0" w:space="4" w:color="auto"/>
          <w:bottom w:val="none" w:sz="0" w:space="1" w:color="auto"/>
          <w:right w:val="none" w:sz="0" w:space="4" w:color="auto"/>
        </w:pBdr>
        <w:overflowPunct w:val="0"/>
        <w:spacing w:line="556"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经过五年的不懈努力，我市站上了发展新起点，一些传统优势得到强化，一些新的优势加快形成，经济社会发展正在向高质量迈进，为</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十四五</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厚植了发展基础。但从</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十三五</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规划指标完成情况来看，不平衡、不充分发展</w:t>
      </w:r>
      <w:r>
        <w:rPr>
          <w:rFonts w:ascii="Times New Roman" w:eastAsia="仿宋" w:hAnsi="Times New Roman" w:cs="Times New Roman" w:hint="eastAsia"/>
          <w:bCs/>
          <w:sz w:val="30"/>
          <w:szCs w:val="30"/>
        </w:rPr>
        <w:t>问题</w:t>
      </w:r>
      <w:r>
        <w:rPr>
          <w:rFonts w:ascii="Times New Roman" w:eastAsia="仿宋" w:hAnsi="Times New Roman" w:cs="Times New Roman"/>
          <w:bCs/>
          <w:sz w:val="30"/>
          <w:szCs w:val="30"/>
        </w:rPr>
        <w:t>仍然较为突出。主要表现在：生态环境综合治理任务较为繁重，沿黄生态修复工程还需继续深入推进，矿山地质修复和治理资金负担较重，区域交叉污染和排放叠加问题明显。产业转型升级步伐还不够快，产业结构</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四多四少</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问题仍然突出，粗放型发展模式尚未根本转变。支撑高质量发展能力亟待提高，能源资源消耗量仍然较大，人才、技术、资本等高端生产要素短缺，新老基础设施滞后，园区设施配套不足。民生及公共服务领域存在弱项，居民收入增长放缓，教育、医疗卫生服务水平较低，与人民群众对美好生活的向往还存在差距。改革突破性仍然不够，一些政策性平台效应发挥不足，要素整合融通机制仍存障碍，营商环境有待持续优化。区域发展协同性不强，开放合作的深度和广度需进一步拓展，区域中心城市</w:t>
      </w:r>
      <w:r>
        <w:rPr>
          <w:rFonts w:ascii="Times New Roman" w:eastAsia="仿宋" w:hAnsi="Times New Roman" w:cs="Times New Roman" w:hint="eastAsia"/>
          <w:bCs/>
          <w:sz w:val="30"/>
          <w:szCs w:val="30"/>
        </w:rPr>
        <w:t>服务</w:t>
      </w:r>
      <w:r>
        <w:rPr>
          <w:rFonts w:ascii="Times New Roman" w:eastAsia="仿宋" w:hAnsi="Times New Roman" w:cs="Times New Roman"/>
          <w:bCs/>
          <w:sz w:val="30"/>
          <w:szCs w:val="30"/>
        </w:rPr>
        <w:t>带动能力还需提升。</w:t>
      </w:r>
    </w:p>
    <w:p w:rsidR="001328A6" w:rsidRDefault="001328A6">
      <w:pPr>
        <w:pStyle w:val="a0"/>
        <w:overflowPunct w:val="0"/>
        <w:spacing w:before="0" w:after="0" w:line="556" w:lineRule="exact"/>
        <w:outlineLvl w:val="9"/>
        <w:rPr>
          <w:rFonts w:ascii="Times New Roman" w:eastAsia="仿宋" w:hAnsi="Times New Roman" w:cs="Times New Roman"/>
          <w:b w:val="0"/>
        </w:rPr>
      </w:pPr>
    </w:p>
    <w:p w:rsidR="001328A6" w:rsidRDefault="007F3236">
      <w:pPr>
        <w:numPr>
          <w:ilvl w:val="0"/>
          <w:numId w:val="2"/>
        </w:numPr>
        <w:pBdr>
          <w:top w:val="none" w:sz="0" w:space="1" w:color="auto"/>
          <w:left w:val="none" w:sz="0" w:space="4" w:color="auto"/>
          <w:bottom w:val="none" w:sz="0" w:space="1" w:color="auto"/>
          <w:right w:val="none" w:sz="0" w:space="4" w:color="auto"/>
        </w:pBdr>
        <w:overflowPunct w:val="0"/>
        <w:spacing w:line="556" w:lineRule="exact"/>
        <w:jc w:val="center"/>
        <w:outlineLvl w:val="1"/>
        <w:rPr>
          <w:rFonts w:ascii="Times New Roman" w:eastAsia="黑体" w:hAnsi="Times New Roman" w:cs="黑体"/>
          <w:bCs/>
          <w:sz w:val="32"/>
          <w:szCs w:val="36"/>
        </w:rPr>
      </w:pPr>
      <w:bookmarkStart w:id="14" w:name="_Toc21547"/>
      <w:bookmarkStart w:id="15" w:name="_Toc29320"/>
      <w:r>
        <w:rPr>
          <w:rFonts w:ascii="Times New Roman" w:eastAsia="黑体" w:hAnsi="Times New Roman" w:cs="黑体" w:hint="eastAsia"/>
          <w:bCs/>
          <w:sz w:val="32"/>
          <w:szCs w:val="36"/>
        </w:rPr>
        <w:t>展望新时代把握战略机遇期新内涵</w:t>
      </w:r>
      <w:bookmarkEnd w:id="14"/>
      <w:bookmarkEnd w:id="15"/>
    </w:p>
    <w:p w:rsidR="001328A6" w:rsidRDefault="001328A6">
      <w:pPr>
        <w:overflowPunct w:val="0"/>
        <w:spacing w:line="556" w:lineRule="exact"/>
        <w:rPr>
          <w:rFonts w:ascii="Times New Roman" w:eastAsia="仿宋" w:hAnsi="Times New Roman" w:cs="Times New Roman"/>
          <w:bCs/>
          <w:sz w:val="32"/>
        </w:rPr>
      </w:pPr>
    </w:p>
    <w:p w:rsidR="001328A6" w:rsidRDefault="007F3236">
      <w:pPr>
        <w:pBdr>
          <w:top w:val="none" w:sz="0" w:space="1" w:color="auto"/>
          <w:left w:val="none" w:sz="0" w:space="4" w:color="auto"/>
          <w:bottom w:val="none" w:sz="0" w:space="1" w:color="auto"/>
          <w:right w:val="none" w:sz="0" w:space="4" w:color="auto"/>
        </w:pBdr>
        <w:overflowPunct w:val="0"/>
        <w:spacing w:line="556" w:lineRule="exact"/>
        <w:ind w:firstLineChars="200" w:firstLine="600"/>
        <w:rPr>
          <w:rFonts w:ascii="Times New Roman" w:eastAsia="仿宋" w:hAnsi="Times New Roman" w:cs="Times New Roman"/>
          <w:bCs/>
          <w:sz w:val="30"/>
          <w:szCs w:val="30"/>
        </w:rPr>
      </w:pPr>
      <w:bookmarkStart w:id="16" w:name="_Toc20514"/>
      <w:bookmarkStart w:id="17" w:name="_Toc29720"/>
      <w:bookmarkStart w:id="18" w:name="_Toc25333"/>
      <w:r>
        <w:rPr>
          <w:rFonts w:ascii="Times New Roman" w:eastAsia="仿宋" w:hAnsi="Times New Roman" w:cs="Times New Roman"/>
          <w:bCs/>
          <w:sz w:val="30"/>
          <w:szCs w:val="30"/>
        </w:rPr>
        <w:t>当今世界正经历百年未有之大变局，我国已转向高质量发展阶段。与全国、全区一样，我市发展仍处于重要战略机遇期，但机遇</w:t>
      </w:r>
      <w:r>
        <w:rPr>
          <w:rFonts w:ascii="Times New Roman" w:eastAsia="仿宋" w:hAnsi="Times New Roman" w:cs="Times New Roman"/>
          <w:bCs/>
          <w:sz w:val="30"/>
          <w:szCs w:val="30"/>
        </w:rPr>
        <w:lastRenderedPageBreak/>
        <w:t>和挑战都有新的发展变化</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面对错综复杂的国际环境带来的新矛盾新挑战、我国社会主要矛盾变化带来的新特征新要求，需要牢牢把握重要战略机遇期的新内涵，增强机遇意识和风险意识，准确识变、科学应变、主动求变，努力在危机中育先机</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于变局中开新局。</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19" w:name="_Toc23948"/>
      <w:bookmarkStart w:id="20" w:name="_Toc26196"/>
      <w:bookmarkStart w:id="21" w:name="_Toc12763"/>
      <w:bookmarkStart w:id="22" w:name="_Toc23792"/>
      <w:bookmarkStart w:id="23" w:name="_Toc22733"/>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“十四五”时期经济社会发展面临的机遇</w:t>
      </w:r>
      <w:bookmarkEnd w:id="19"/>
      <w:bookmarkEnd w:id="20"/>
      <w:bookmarkEnd w:id="21"/>
      <w:bookmarkEnd w:id="22"/>
      <w:bookmarkEnd w:id="23"/>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40"/>
        <w:rPr>
          <w:rFonts w:ascii="Times New Roman" w:eastAsia="仿宋" w:hAnsi="Times New Roman" w:cs="Times New Roman"/>
          <w:bCs/>
          <w:sz w:val="32"/>
          <w:szCs w:val="32"/>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在国家和自治区区域经济战略中抓</w:t>
      </w:r>
      <w:r>
        <w:rPr>
          <w:rFonts w:ascii="Times New Roman" w:eastAsia="仿宋" w:hAnsi="Times New Roman" w:cs="Times New Roman" w:hint="eastAsia"/>
          <w:bCs/>
          <w:sz w:val="30"/>
          <w:szCs w:val="30"/>
        </w:rPr>
        <w:t>占位</w:t>
      </w:r>
      <w:r>
        <w:rPr>
          <w:rFonts w:ascii="Times New Roman" w:eastAsia="仿宋" w:hAnsi="Times New Roman" w:cs="Times New Roman"/>
          <w:bCs/>
          <w:sz w:val="30"/>
          <w:szCs w:val="30"/>
        </w:rPr>
        <w:t>机遇。黄河流域生态保护和高质量发展、新一轮西部大开发和振兴东北老工业基地等重大国家战略的实施，为我市争取国家、自治区政策支持创造了难得的机遇。呼包鄂榆城市群、呼包银榆经济区、呼包鄂乌城市群、</w:t>
      </w:r>
      <w:r>
        <w:rPr>
          <w:rFonts w:ascii="Times New Roman" w:eastAsia="仿宋" w:hAnsi="Times New Roman" w:cs="Times New Roman" w:hint="eastAsia"/>
          <w:bCs/>
          <w:sz w:val="30"/>
          <w:szCs w:val="30"/>
        </w:rPr>
        <w:t>黄河几字弯</w:t>
      </w:r>
      <w:r>
        <w:rPr>
          <w:rFonts w:ascii="Times New Roman" w:eastAsia="仿宋" w:hAnsi="Times New Roman" w:cs="Times New Roman"/>
          <w:bCs/>
          <w:sz w:val="30"/>
          <w:szCs w:val="30"/>
        </w:rPr>
        <w:t>都市圈、乌海及周边地区转型发展等区域合作战略的深入推进，有利于我市通过产业结构转型升级、城市功能完善提升，在区域协同协作中争取有利地位。</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在国家和自治区产业支持战略中抓分工机遇。国家实施扩大内需、振兴实体经济、建设制造业强国和数字强国等战略，自治区加快推进现代能源经济示范区建设等，为我市融入国内国际双循环相互促进的新发展格局，在保障产业链、供应链安全中争取有利分工地位、在服务业提质升级中培育新动能、在数字产业化和产业数字化加速推进中创造了机遇。国家大力实施创新驱动战略，为我市争取国家大型科技创新基础设施建设、设立国家级科技创新平台创造了条件。</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lastRenderedPageBreak/>
        <w:t>在国家和自治区宏观调控举措中抓热点机遇。抓住国家加大基础设施投入力度尤其是开启</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新基建</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的机遇，进一步提升交通、电网、水利、</w:t>
      </w:r>
      <w:r>
        <w:rPr>
          <w:rFonts w:ascii="Times New Roman" w:eastAsia="仿宋" w:hAnsi="Times New Roman" w:cs="Times New Roman"/>
          <w:bCs/>
          <w:sz w:val="30"/>
          <w:szCs w:val="30"/>
        </w:rPr>
        <w:t>5G</w:t>
      </w:r>
      <w:r>
        <w:rPr>
          <w:rFonts w:ascii="Times New Roman" w:eastAsia="仿宋" w:hAnsi="Times New Roman" w:cs="Times New Roman"/>
          <w:bCs/>
          <w:sz w:val="30"/>
          <w:szCs w:val="30"/>
        </w:rPr>
        <w:t>基站、数据中心、新能源设施等新老基础设施水平。抓住国家实施城镇老旧小区改造和社区建设、强化区域应急公共卫生服务体系建设等机遇，实施一批公共服务设施提标扩面、环境卫生设施提级扩能、市政公用设施提档升级项目，促进城市向宜居宜业宜游转型，进一步巩固和强化区域中心城市地位。</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在国家和自治区改革深化中抓红利机遇。抓住国家进一步完善市场经济基本制度、深化要素市场化改革的机遇，在国资国企改革、市场主体培育、民营经济准入、产权制度创新、人才科技引进等方面创新体制机制，为整合资源要素和拓展发展空间突破制度障碍。抓住深化</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放管服</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改革的机遇，提高行政审批效率，进一步优化营商环境、提升服务效能。</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在科技进步新趋势中抓转型升级机遇。我国科技水平已跨越跟踪模仿阶段，自主创新能力明显增强，国家一系列重大科技工程的实施必将极大地改善国内技术供给条件，科研管理和人才体制改革会使技术交易和人才流动更加顺畅，为我市有效破解人才、科技等高端要素瓶颈，建立多渠道、多形式的产学研</w:t>
      </w:r>
      <w:r>
        <w:rPr>
          <w:rFonts w:ascii="Times New Roman" w:eastAsia="仿宋" w:hAnsi="Times New Roman" w:cs="Times New Roman" w:hint="eastAsia"/>
          <w:bCs/>
          <w:sz w:val="30"/>
          <w:szCs w:val="30"/>
        </w:rPr>
        <w:t>用</w:t>
      </w:r>
      <w:r>
        <w:rPr>
          <w:rFonts w:ascii="Times New Roman" w:eastAsia="仿宋" w:hAnsi="Times New Roman" w:cs="Times New Roman"/>
          <w:bCs/>
          <w:sz w:val="30"/>
          <w:szCs w:val="30"/>
        </w:rPr>
        <w:t>合作联盟，持续提升产业体系的</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含新量</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创造了机遇。</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在居民消费结构升级中抓多元发展机遇。随着我国城乡居民收入和消费水平不断提高，居民消费方式正在向追求品质、健康和个性化转型，使高端绿色有机食品和旅游康养、文化娱乐等产业面临</w:t>
      </w:r>
      <w:r>
        <w:rPr>
          <w:rFonts w:ascii="Times New Roman" w:eastAsia="仿宋" w:hAnsi="Times New Roman" w:cs="Times New Roman"/>
          <w:bCs/>
          <w:sz w:val="30"/>
          <w:szCs w:val="30"/>
        </w:rPr>
        <w:lastRenderedPageBreak/>
        <w:t>着良好的市场前景，为我市通过农旅融合、文旅融合、体旅融合、商旅融合，培育新的支柱产业，促进优势资源多元开发和产业多极发展创造了条件。</w:t>
      </w:r>
      <w:r>
        <w:rPr>
          <w:rFonts w:ascii="Times New Roman" w:eastAsia="仿宋" w:hAnsi="Times New Roman" w:cs="Times New Roman"/>
          <w:bCs/>
          <w:sz w:val="30"/>
          <w:szCs w:val="30"/>
        </w:rPr>
        <w:t xml:space="preserve"> </w:t>
      </w:r>
    </w:p>
    <w:p w:rsidR="001328A6" w:rsidRDefault="007F323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在城乡基础设施改善中抓业态创新机遇。</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十四五</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期间，我市基础设施建设将会迎来新的高潮，荣乌高速建成通车，多条国省干线加快建设，包银高铁</w:t>
      </w:r>
      <w:r>
        <w:rPr>
          <w:rFonts w:ascii="Times New Roman" w:eastAsia="仿宋" w:hAnsi="Times New Roman" w:cs="Times New Roman" w:hint="eastAsia"/>
          <w:bCs/>
          <w:sz w:val="30"/>
          <w:szCs w:val="30"/>
        </w:rPr>
        <w:t>乌海段</w:t>
      </w:r>
      <w:r>
        <w:rPr>
          <w:rFonts w:ascii="Times New Roman" w:eastAsia="仿宋" w:hAnsi="Times New Roman" w:cs="Times New Roman"/>
          <w:bCs/>
          <w:sz w:val="30"/>
          <w:szCs w:val="30"/>
        </w:rPr>
        <w:t>开工建设，交通网络更加完善，市政设施及园区配套更加完备，智能电网和油气管网更加高效，依托基础设施改善带动支撑条件和产业生态的新变化，为我市大力培育高铁经济、数字经济、平台经济等新兴业态，推动城市转型和产业结构升级创造了条件。</w:t>
      </w:r>
    </w:p>
    <w:p w:rsidR="001328A6" w:rsidRDefault="001328A6">
      <w:pPr>
        <w:pStyle w:val="a0"/>
        <w:spacing w:before="0" w:after="0" w:line="610" w:lineRule="exact"/>
        <w:outlineLvl w:val="9"/>
        <w:rPr>
          <w:rFonts w:ascii="Times New Roman" w:eastAsia="仿宋" w:hAnsi="Times New Roman"/>
        </w:rPr>
      </w:pPr>
    </w:p>
    <w:p w:rsidR="001328A6" w:rsidRDefault="007F3236">
      <w:pPr>
        <w:numPr>
          <w:ilvl w:val="0"/>
          <w:numId w:val="4"/>
        </w:numPr>
        <w:pBdr>
          <w:top w:val="none" w:sz="0" w:space="1" w:color="auto"/>
          <w:left w:val="none" w:sz="0" w:space="4" w:color="auto"/>
          <w:bottom w:val="none" w:sz="0" w:space="1" w:color="auto"/>
          <w:right w:val="none" w:sz="0" w:space="4" w:color="auto"/>
        </w:pBdr>
        <w:overflowPunct w:val="0"/>
        <w:spacing w:line="610" w:lineRule="exact"/>
        <w:jc w:val="center"/>
        <w:outlineLvl w:val="2"/>
        <w:rPr>
          <w:rFonts w:ascii="Times New Roman" w:eastAsia="楷体" w:hAnsi="Times New Roman" w:cs="楷体"/>
          <w:bCs/>
          <w:sz w:val="32"/>
          <w:szCs w:val="32"/>
        </w:rPr>
      </w:pPr>
      <w:bookmarkStart w:id="24" w:name="_Toc15039"/>
      <w:bookmarkStart w:id="25" w:name="_Toc20377"/>
      <w:bookmarkStart w:id="26" w:name="_Toc2076"/>
      <w:bookmarkStart w:id="27" w:name="_Toc32654"/>
      <w:bookmarkStart w:id="28" w:name="_Toc26243"/>
      <w:r>
        <w:rPr>
          <w:rFonts w:ascii="Times New Roman" w:eastAsia="楷体" w:hAnsi="Times New Roman" w:cs="楷体" w:hint="eastAsia"/>
          <w:bCs/>
          <w:sz w:val="32"/>
          <w:szCs w:val="32"/>
        </w:rPr>
        <w:t>“十四五”时期经济社会发展面临的挑战</w:t>
      </w:r>
      <w:bookmarkEnd w:id="24"/>
      <w:bookmarkEnd w:id="25"/>
      <w:bookmarkEnd w:id="26"/>
      <w:bookmarkEnd w:id="27"/>
      <w:bookmarkEnd w:id="28"/>
    </w:p>
    <w:p w:rsidR="001328A6" w:rsidRDefault="001328A6">
      <w:pPr>
        <w:overflowPunct w:val="0"/>
        <w:spacing w:line="610" w:lineRule="exact"/>
        <w:ind w:firstLineChars="200" w:firstLine="640"/>
        <w:rPr>
          <w:rFonts w:ascii="Times New Roman" w:eastAsia="仿宋" w:hAnsi="Times New Roman" w:cs="Times New Roman"/>
          <w:bCs/>
          <w:sz w:val="32"/>
          <w:szCs w:val="32"/>
        </w:rPr>
      </w:pPr>
    </w:p>
    <w:p w:rsidR="001328A6" w:rsidRDefault="007F3236">
      <w:pPr>
        <w:overflowPunct w:val="0"/>
        <w:spacing w:line="61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资源环境约束趋紧对产业发展的挑战。在以生态优先、绿色发展为导向的高质量发展总要求下，国家产业政策、节能环保标准将会呈现从严从紧趋势，我市能耗、水耗及污染排放水平仍处高位，完成国家、自治区下达的节能降碳及用水、污染排放等指标任务压力较大。在可利用土地趋紧、自有资源逐步枯竭和生态环境脆弱等资源枯竭型城市的发展困境下，我市项目建设、招商引资和产业发展将面临更大的挑战。</w:t>
      </w:r>
    </w:p>
    <w:p w:rsidR="001328A6" w:rsidRDefault="007F323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市场波动对稳定经济运行的挑战。世界进入动荡变革期，新冠</w:t>
      </w:r>
      <w:r w:rsidR="00E62278">
        <w:rPr>
          <w:rFonts w:ascii="Times New Roman" w:eastAsia="仿宋" w:hAnsi="Times New Roman" w:cs="Times New Roman"/>
          <w:bCs/>
          <w:sz w:val="30"/>
          <w:szCs w:val="30"/>
        </w:rPr>
        <w:lastRenderedPageBreak/>
        <w:t>肺炎疫情影响仍在持续，我国经济发展</w:t>
      </w:r>
      <w:r>
        <w:rPr>
          <w:rFonts w:ascii="Times New Roman" w:eastAsia="仿宋" w:hAnsi="Times New Roman" w:cs="Times New Roman"/>
          <w:bCs/>
          <w:sz w:val="30"/>
          <w:szCs w:val="30"/>
        </w:rPr>
        <w:t>不稳定性不确定性明显增加，我市以原材料、初级产品为主的产业结构对外部市场依赖性强，受宏观经济运行影响较大。尽管</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十三五</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后期经济增长实现了逆势上扬，但持续向好的势头还不稳固，稳经营、稳投资、保民生、保运转、控风险将会面临更大的压力。</w:t>
      </w:r>
    </w:p>
    <w:p w:rsidR="001328A6" w:rsidRDefault="007F323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Times New Roman"/>
          <w:bCs/>
          <w:spacing w:val="-6"/>
          <w:sz w:val="32"/>
          <w:szCs w:val="32"/>
        </w:rPr>
      </w:pPr>
      <w:r>
        <w:rPr>
          <w:rFonts w:ascii="Times New Roman" w:eastAsia="仿宋" w:hAnsi="Times New Roman" w:cs="Times New Roman"/>
          <w:bCs/>
          <w:sz w:val="30"/>
          <w:szCs w:val="30"/>
        </w:rPr>
        <w:t>区域竞争压力增大对要素配置带来的挑战。随着不同行政单</w:t>
      </w:r>
      <w:r>
        <w:rPr>
          <w:rFonts w:ascii="Times New Roman" w:eastAsia="仿宋" w:hAnsi="Times New Roman" w:cs="Times New Roman"/>
          <w:bCs/>
          <w:spacing w:val="-6"/>
          <w:sz w:val="30"/>
          <w:szCs w:val="30"/>
        </w:rPr>
        <w:t>元之间在资源、市场、技术、人才、资金等方面竞争的加剧，我市人口规模小、资源总量少、环境容量有限，与周边地区的合作会面临严峻挑战。尤其是随着包银高铁建成通车，在带来出行便利的同时，也</w:t>
      </w:r>
      <w:r>
        <w:rPr>
          <w:rFonts w:ascii="Times New Roman" w:eastAsia="仿宋" w:hAnsi="Times New Roman" w:cs="Times New Roman" w:hint="eastAsia"/>
          <w:bCs/>
          <w:spacing w:val="-6"/>
          <w:sz w:val="30"/>
          <w:szCs w:val="30"/>
        </w:rPr>
        <w:t>将</w:t>
      </w:r>
      <w:r>
        <w:rPr>
          <w:rFonts w:ascii="Times New Roman" w:eastAsia="仿宋" w:hAnsi="Times New Roman" w:cs="Times New Roman"/>
          <w:bCs/>
          <w:spacing w:val="-6"/>
          <w:sz w:val="30"/>
          <w:szCs w:val="30"/>
        </w:rPr>
        <w:t>增</w:t>
      </w:r>
      <w:r>
        <w:rPr>
          <w:rFonts w:ascii="Times New Roman" w:eastAsia="仿宋" w:hAnsi="Times New Roman" w:cs="Times New Roman" w:hint="eastAsia"/>
          <w:bCs/>
          <w:spacing w:val="-6"/>
          <w:sz w:val="30"/>
          <w:szCs w:val="30"/>
        </w:rPr>
        <w:t>加</w:t>
      </w:r>
      <w:r>
        <w:rPr>
          <w:rFonts w:ascii="Times New Roman" w:eastAsia="仿宋" w:hAnsi="Times New Roman" w:cs="Times New Roman"/>
          <w:bCs/>
          <w:spacing w:val="-6"/>
          <w:sz w:val="30"/>
          <w:szCs w:val="30"/>
        </w:rPr>
        <w:t>银川、呼和浩特等区域中心城市对我市的</w:t>
      </w:r>
      <w:r>
        <w:rPr>
          <w:rFonts w:ascii="Times New Roman" w:eastAsia="仿宋" w:hAnsi="Times New Roman" w:cs="Times New Roman" w:hint="eastAsia"/>
          <w:bCs/>
          <w:spacing w:val="-6"/>
          <w:sz w:val="30"/>
          <w:szCs w:val="30"/>
        </w:rPr>
        <w:t>“</w:t>
      </w:r>
      <w:r>
        <w:rPr>
          <w:rFonts w:ascii="Times New Roman" w:eastAsia="仿宋" w:hAnsi="Times New Roman" w:cs="Times New Roman"/>
          <w:bCs/>
          <w:spacing w:val="-6"/>
          <w:sz w:val="30"/>
          <w:szCs w:val="30"/>
        </w:rPr>
        <w:t>虹吸效应</w:t>
      </w:r>
      <w:r>
        <w:rPr>
          <w:rFonts w:ascii="Times New Roman" w:eastAsia="仿宋" w:hAnsi="Times New Roman" w:cs="Times New Roman" w:hint="eastAsia"/>
          <w:bCs/>
          <w:spacing w:val="-6"/>
          <w:sz w:val="30"/>
          <w:szCs w:val="30"/>
        </w:rPr>
        <w:t>”</w:t>
      </w:r>
      <w:r>
        <w:rPr>
          <w:rFonts w:ascii="Times New Roman" w:eastAsia="仿宋" w:hAnsi="Times New Roman" w:cs="Times New Roman"/>
          <w:bCs/>
          <w:spacing w:val="-6"/>
          <w:sz w:val="30"/>
          <w:szCs w:val="30"/>
        </w:rPr>
        <w:t>，如果应对不力，人口及要素流出可能会呈现加速加剧态势。</w:t>
      </w:r>
    </w:p>
    <w:p w:rsidR="001328A6" w:rsidRDefault="001328A6">
      <w:pPr>
        <w:pBdr>
          <w:top w:val="none" w:sz="0" w:space="1" w:color="auto"/>
          <w:left w:val="none" w:sz="0" w:space="4" w:color="auto"/>
          <w:bottom w:val="none" w:sz="0" w:space="1" w:color="auto"/>
          <w:right w:val="none" w:sz="0" w:space="4" w:color="auto"/>
        </w:pBdr>
        <w:overflowPunct w:val="0"/>
        <w:spacing w:line="610" w:lineRule="exact"/>
        <w:jc w:val="center"/>
        <w:rPr>
          <w:rFonts w:ascii="Times New Roman" w:eastAsia="仿宋" w:hAnsi="Times New Roman" w:cs="Times New Roman"/>
          <w:bCs/>
          <w:sz w:val="32"/>
        </w:rPr>
      </w:pPr>
    </w:p>
    <w:p w:rsidR="001328A6" w:rsidRDefault="007F3236">
      <w:pPr>
        <w:pBdr>
          <w:top w:val="none" w:sz="0" w:space="1" w:color="auto"/>
          <w:left w:val="none" w:sz="0" w:space="4" w:color="auto"/>
          <w:bottom w:val="none" w:sz="0" w:space="1" w:color="auto"/>
          <w:right w:val="none" w:sz="0" w:space="4" w:color="auto"/>
        </w:pBdr>
        <w:overflowPunct w:val="0"/>
        <w:spacing w:line="610" w:lineRule="exact"/>
        <w:jc w:val="center"/>
        <w:outlineLvl w:val="1"/>
        <w:rPr>
          <w:rFonts w:ascii="Times New Roman" w:eastAsia="黑体" w:hAnsi="Times New Roman" w:cs="黑体"/>
          <w:bCs/>
          <w:sz w:val="32"/>
          <w:szCs w:val="36"/>
        </w:rPr>
      </w:pPr>
      <w:bookmarkStart w:id="29" w:name="_Toc31424"/>
      <w:bookmarkStart w:id="30" w:name="_Toc19836"/>
      <w:r>
        <w:rPr>
          <w:rFonts w:ascii="Times New Roman" w:eastAsia="黑体" w:hAnsi="Times New Roman" w:cs="黑体" w:hint="eastAsia"/>
          <w:bCs/>
          <w:sz w:val="32"/>
          <w:szCs w:val="36"/>
        </w:rPr>
        <w:t>第三章</w:t>
      </w:r>
      <w:r>
        <w:rPr>
          <w:rFonts w:ascii="Times New Roman" w:eastAsia="黑体" w:hAnsi="Times New Roman" w:cs="黑体" w:hint="eastAsia"/>
          <w:bCs/>
          <w:sz w:val="32"/>
          <w:szCs w:val="36"/>
        </w:rPr>
        <w:t xml:space="preserve"> </w:t>
      </w:r>
      <w:r>
        <w:rPr>
          <w:rFonts w:ascii="Times New Roman" w:eastAsia="黑体" w:hAnsi="Times New Roman" w:cs="黑体" w:hint="eastAsia"/>
          <w:bCs/>
          <w:sz w:val="32"/>
          <w:szCs w:val="36"/>
        </w:rPr>
        <w:t>发展再出发开启现代化建设新征程</w:t>
      </w:r>
      <w:bookmarkEnd w:id="16"/>
      <w:bookmarkEnd w:id="17"/>
      <w:bookmarkEnd w:id="18"/>
      <w:bookmarkEnd w:id="29"/>
      <w:bookmarkEnd w:id="30"/>
    </w:p>
    <w:p w:rsidR="001328A6" w:rsidRDefault="001328A6">
      <w:pPr>
        <w:pBdr>
          <w:top w:val="none" w:sz="0" w:space="1" w:color="auto"/>
          <w:left w:val="none" w:sz="0" w:space="4" w:color="auto"/>
          <w:bottom w:val="none" w:sz="0" w:space="1" w:color="auto"/>
          <w:right w:val="none" w:sz="0" w:space="4" w:color="auto"/>
        </w:pBdr>
        <w:overflowPunct w:val="0"/>
        <w:spacing w:line="610" w:lineRule="exact"/>
        <w:ind w:firstLineChars="200" w:firstLine="640"/>
        <w:rPr>
          <w:rFonts w:ascii="Times New Roman" w:eastAsia="仿宋" w:hAnsi="Times New Roman" w:cs="Times New Roman"/>
          <w:bCs/>
          <w:sz w:val="32"/>
          <w:szCs w:val="32"/>
        </w:rPr>
      </w:pPr>
      <w:bookmarkStart w:id="31" w:name="_Toc8637"/>
      <w:bookmarkStart w:id="32" w:name="_Toc7243"/>
      <w:bookmarkStart w:id="33" w:name="_Toc11708"/>
      <w:bookmarkStart w:id="34" w:name="_Toc11995"/>
    </w:p>
    <w:p w:rsidR="001328A6" w:rsidRDefault="007F323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Times New Roman"/>
          <w:bCs/>
          <w:sz w:val="32"/>
          <w:szCs w:val="32"/>
        </w:rPr>
      </w:pPr>
      <w:r>
        <w:rPr>
          <w:rFonts w:ascii="Times New Roman" w:eastAsia="仿宋" w:hAnsi="Times New Roman" w:cs="Times New Roman"/>
          <w:bCs/>
          <w:sz w:val="30"/>
          <w:szCs w:val="30"/>
        </w:rPr>
        <w:t>习近平总书记强调，进入新发展阶段、贯彻新发展理念、构建新发展格局，是由我国经济社会发展的理论逻辑、历史逻辑、现实逻辑决定的。进入新发展阶段明确了我国发展的历史方位，贯彻新发展理念明确了我国现代化建设的指导原则，构建新发展格局明确了我国经济现代化的路径选择。我市必须准确把握新发展阶段，</w:t>
      </w:r>
      <w:r>
        <w:rPr>
          <w:rFonts w:ascii="Times New Roman" w:eastAsia="仿宋" w:hAnsi="Times New Roman" w:cs="Times New Roman" w:hint="eastAsia"/>
          <w:bCs/>
          <w:sz w:val="30"/>
          <w:szCs w:val="30"/>
        </w:rPr>
        <w:t>完整、准确、全面</w:t>
      </w:r>
      <w:r>
        <w:rPr>
          <w:rFonts w:ascii="Times New Roman" w:eastAsia="仿宋" w:hAnsi="Times New Roman" w:cs="Times New Roman"/>
          <w:bCs/>
          <w:sz w:val="30"/>
          <w:szCs w:val="30"/>
        </w:rPr>
        <w:t>贯彻新发展理念，主动服务融入新发展格局，将生态优先、绿色发展作为主线贯穿全过程、全领域，努力实现发展理</w:t>
      </w:r>
      <w:r>
        <w:rPr>
          <w:rFonts w:ascii="Times New Roman" w:eastAsia="仿宋" w:hAnsi="Times New Roman" w:cs="Times New Roman"/>
          <w:bCs/>
          <w:sz w:val="30"/>
          <w:szCs w:val="30"/>
        </w:rPr>
        <w:lastRenderedPageBreak/>
        <w:t>念、发展路径、发展方式、发展目标的全方位变化，走出一条符合战略定位、体现乌海特色，以生态优先、绿色发展为导向的高质量发展新路子，紧扣</w:t>
      </w:r>
      <w:r>
        <w:rPr>
          <w:rFonts w:ascii="Times New Roman" w:eastAsia="仿宋" w:hAnsi="Times New Roman" w:cs="Times New Roman"/>
          <w:bCs/>
          <w:sz w:val="30"/>
          <w:szCs w:val="30"/>
        </w:rPr>
        <w:t>2035</w:t>
      </w:r>
      <w:r>
        <w:rPr>
          <w:rFonts w:ascii="Times New Roman" w:eastAsia="仿宋" w:hAnsi="Times New Roman" w:cs="Times New Roman"/>
          <w:bCs/>
          <w:sz w:val="30"/>
          <w:szCs w:val="30"/>
        </w:rPr>
        <w:t>年基本实现社会主义现代化的战略安排，明</w:t>
      </w:r>
      <w:r>
        <w:rPr>
          <w:rFonts w:ascii="Times New Roman" w:eastAsia="仿宋" w:hAnsi="Times New Roman" w:cs="Times New Roman"/>
          <w:bCs/>
          <w:spacing w:val="-6"/>
          <w:sz w:val="30"/>
          <w:szCs w:val="30"/>
        </w:rPr>
        <w:t>确我市</w:t>
      </w:r>
      <w:r>
        <w:rPr>
          <w:rFonts w:ascii="Times New Roman" w:eastAsia="仿宋" w:hAnsi="Times New Roman" w:cs="Times New Roman" w:hint="eastAsia"/>
          <w:bCs/>
          <w:spacing w:val="-6"/>
          <w:sz w:val="30"/>
          <w:szCs w:val="30"/>
        </w:rPr>
        <w:t>“</w:t>
      </w:r>
      <w:r>
        <w:rPr>
          <w:rFonts w:ascii="Times New Roman" w:eastAsia="仿宋" w:hAnsi="Times New Roman" w:cs="Times New Roman"/>
          <w:bCs/>
          <w:spacing w:val="-6"/>
          <w:sz w:val="30"/>
          <w:szCs w:val="30"/>
        </w:rPr>
        <w:t>十四五</w:t>
      </w:r>
      <w:r>
        <w:rPr>
          <w:rFonts w:ascii="Times New Roman" w:eastAsia="仿宋" w:hAnsi="Times New Roman" w:cs="Times New Roman" w:hint="eastAsia"/>
          <w:bCs/>
          <w:spacing w:val="-6"/>
          <w:sz w:val="30"/>
          <w:szCs w:val="30"/>
        </w:rPr>
        <w:t>”</w:t>
      </w:r>
      <w:r>
        <w:rPr>
          <w:rFonts w:ascii="Times New Roman" w:eastAsia="仿宋" w:hAnsi="Times New Roman" w:cs="Times New Roman"/>
          <w:bCs/>
          <w:spacing w:val="-6"/>
          <w:sz w:val="30"/>
          <w:szCs w:val="30"/>
        </w:rPr>
        <w:t>时期指导思想、基本原则和经济社会发展主要目标。</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35" w:name="_Toc26008"/>
      <w:bookmarkStart w:id="36" w:name="_Toc32621"/>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“十四五”时期经济社会发展指导思想</w:t>
      </w:r>
      <w:bookmarkEnd w:id="31"/>
      <w:bookmarkEnd w:id="35"/>
      <w:bookmarkEnd w:id="36"/>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Times New Roman"/>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方正仿宋_GB2312"/>
          <w:bCs/>
          <w:spacing w:val="-6"/>
          <w:sz w:val="30"/>
          <w:szCs w:val="30"/>
        </w:rPr>
      </w:pPr>
      <w:r>
        <w:rPr>
          <w:rFonts w:ascii="Times New Roman" w:eastAsia="仿宋" w:hAnsi="Times New Roman" w:cs="方正仿宋_GB2312" w:hint="eastAsia"/>
          <w:bCs/>
          <w:sz w:val="30"/>
          <w:szCs w:val="30"/>
        </w:rPr>
        <w:t>高举中国特色社会主义伟大旗帜，深入贯彻党的十九大和十九届二中、三中、四中、五中全会精神，坚持以马克思列宁主义、毛</w:t>
      </w:r>
      <w:r>
        <w:rPr>
          <w:rFonts w:ascii="Times New Roman" w:eastAsia="仿宋" w:hAnsi="Times New Roman" w:cs="方正仿宋_GB2312" w:hint="eastAsia"/>
          <w:bCs/>
          <w:spacing w:val="-6"/>
          <w:sz w:val="30"/>
          <w:szCs w:val="30"/>
        </w:rPr>
        <w:t>泽东思想、邓小平理论、“三个代表”重要思想、科学发展观、习近平新时代中国特色社会主义思想为指导，全面贯彻党的基本理论、基本路线、基本方略，全面落实习近平总书记对内蒙古重要讲话重要指示批示精神，统筹推进“五位一体”总体布局，协调推进“四个全面”战略布局，坚持党的全面领导，坚持以人民为中心，坚持新发展理念，坚持深化改革开放，坚持系统观念，坚持稳中求进工作总基调，以推动高质量发展为主题，以深化供给侧结构性改革为主线，以改革创新为根本动力，以满足人民日益增长的美好生活需要为根本目的，统筹发展和安全，坚定不移走以生态优先、绿色发展为导向的高质量发展新路子，主动服从服务于自治区“两个屏障”“两个基地”“一个桥头堡”的战略定位，加快建设现代化经济体系，服务融入新发展格局，促进各民族团结进步，推进治理体系和治理能力现代化，努力实现生态质量更高、转型步伐更</w:t>
      </w:r>
      <w:r>
        <w:rPr>
          <w:rFonts w:ascii="Times New Roman" w:eastAsia="仿宋" w:hAnsi="Times New Roman" w:cs="方正仿宋_GB2312" w:hint="eastAsia"/>
          <w:bCs/>
          <w:spacing w:val="-6"/>
          <w:sz w:val="30"/>
          <w:szCs w:val="30"/>
        </w:rPr>
        <w:lastRenderedPageBreak/>
        <w:t>快、创新动力更足、城市功能更强、生活品质更优，在全面建设社会主义现代化国家新征程上书写乌海发展新篇章。</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Times New Roman"/>
          <w:bCs/>
          <w:sz w:val="30"/>
          <w:szCs w:val="30"/>
        </w:rPr>
      </w:pPr>
      <w:bookmarkStart w:id="37" w:name="_Toc21379"/>
      <w:bookmarkStart w:id="38" w:name="_Toc15513"/>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39" w:name="_Toc12151"/>
      <w:r>
        <w:rPr>
          <w:rFonts w:ascii="Times New Roman" w:eastAsia="楷体" w:hAnsi="Times New Roman" w:cs="楷体" w:hint="eastAsia"/>
          <w:bCs/>
          <w:sz w:val="32"/>
          <w:szCs w:val="32"/>
        </w:rPr>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“十四五”时期必须遵循的基本原则</w:t>
      </w:r>
      <w:bookmarkEnd w:id="37"/>
      <w:bookmarkEnd w:id="38"/>
      <w:bookmarkEnd w:id="39"/>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Times New Roman"/>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w:t>
      </w:r>
      <w:r>
        <w:rPr>
          <w:rFonts w:ascii="Times New Roman" w:eastAsia="仿宋" w:hAnsi="Times New Roman" w:cs="Times New Roman"/>
          <w:bCs/>
          <w:sz w:val="30"/>
          <w:szCs w:val="30"/>
        </w:rPr>
        <w:t>坚持党的全面领导。坚持和完善党领导经济社会发展的体制机制，坚持和完善中国特色社会主义制度，不断提高贯彻新发展理念、服务融入新发展格局能力和水平，为实现高质量发展提供根本保证。</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w:t>
      </w:r>
      <w:r>
        <w:rPr>
          <w:rFonts w:ascii="Times New Roman" w:eastAsia="仿宋" w:hAnsi="Times New Roman" w:cs="Times New Roman"/>
          <w:bCs/>
          <w:sz w:val="30"/>
          <w:szCs w:val="30"/>
        </w:rPr>
        <w:t>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w:t>
      </w:r>
      <w:r>
        <w:rPr>
          <w:rFonts w:ascii="Times New Roman" w:eastAsia="仿宋" w:hAnsi="Times New Roman" w:cs="Times New Roman"/>
          <w:bCs/>
          <w:sz w:val="30"/>
          <w:szCs w:val="30"/>
        </w:rPr>
        <w:t>坚持新发展理念。把新发展理念贯穿发展全过程和各领域，服务融入新发展格局，切实转变发展方式，加快质量变革、效率变革、动力变革，实现更高质量、更有效率、更加公平、更可持续、更为安全的发展。</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w:t>
      </w:r>
      <w:r>
        <w:rPr>
          <w:rFonts w:ascii="Times New Roman" w:eastAsia="仿宋" w:hAnsi="Times New Roman" w:cs="Times New Roman"/>
          <w:bCs/>
          <w:sz w:val="30"/>
          <w:szCs w:val="30"/>
        </w:rPr>
        <w:t>坚持深化改革开放。坚定不移推进改革，坚定不移扩大开放，加强社会治理体系和治理能力现代化建设，破除制约高质量发展、高效能治理、高品质生活的体制机制障碍，强化有利于提高资源配置效率、有利于调动全社会积极性的重要改革开放举措，持续增强发展动力和活力。</w:t>
      </w:r>
    </w:p>
    <w:p w:rsidR="001328A6" w:rsidRDefault="007F323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lastRenderedPageBreak/>
        <w:t>——</w:t>
      </w:r>
      <w:r>
        <w:rPr>
          <w:rFonts w:ascii="Times New Roman" w:eastAsia="仿宋" w:hAnsi="Times New Roman" w:cs="Times New Roman"/>
          <w:bCs/>
          <w:sz w:val="30"/>
          <w:szCs w:val="30"/>
        </w:rPr>
        <w:t>坚持系统观念。加强前瞻性思考、全局性谋划、战略性布局、整体性推进，办好发展和安全两件大事，坚持与全国、全区一盘棋，更好发挥各方</w:t>
      </w:r>
      <w:r>
        <w:rPr>
          <w:rFonts w:ascii="Times New Roman" w:eastAsia="仿宋" w:hAnsi="Times New Roman" w:cs="Times New Roman" w:hint="eastAsia"/>
          <w:bCs/>
          <w:sz w:val="30"/>
          <w:szCs w:val="30"/>
        </w:rPr>
        <w:t>面</w:t>
      </w:r>
      <w:r>
        <w:rPr>
          <w:rFonts w:ascii="Times New Roman" w:eastAsia="仿宋" w:hAnsi="Times New Roman" w:cs="Times New Roman"/>
          <w:bCs/>
          <w:sz w:val="30"/>
          <w:szCs w:val="30"/>
        </w:rPr>
        <w:t>积极性，着力固根基、扬优势、补短板、强弱项，注重防范化解重大风险挑战，实现发展质量、结构、规模、速度、效益、安全相统一。</w:t>
      </w:r>
    </w:p>
    <w:p w:rsidR="001328A6" w:rsidRDefault="001328A6">
      <w:pPr>
        <w:pBdr>
          <w:top w:val="none" w:sz="0" w:space="1" w:color="auto"/>
          <w:left w:val="none" w:sz="0" w:space="4" w:color="auto"/>
          <w:bottom w:val="none" w:sz="0" w:space="1" w:color="auto"/>
          <w:right w:val="none" w:sz="0" w:space="4" w:color="auto"/>
        </w:pBdr>
        <w:overflowPunct w:val="0"/>
        <w:spacing w:line="610" w:lineRule="exact"/>
        <w:jc w:val="center"/>
        <w:rPr>
          <w:rFonts w:ascii="Times New Roman" w:eastAsia="仿宋" w:hAnsi="Times New Roman" w:cs="Times New Roman"/>
          <w:bCs/>
          <w:sz w:val="30"/>
          <w:szCs w:val="30"/>
        </w:rPr>
      </w:pPr>
      <w:bookmarkStart w:id="40" w:name="_Toc7078"/>
      <w:bookmarkStart w:id="41" w:name="_Toc30402"/>
    </w:p>
    <w:p w:rsidR="001328A6" w:rsidRDefault="007F3236">
      <w:pPr>
        <w:pBdr>
          <w:top w:val="none" w:sz="0" w:space="1" w:color="auto"/>
          <w:left w:val="none" w:sz="0" w:space="4" w:color="auto"/>
          <w:bottom w:val="none" w:sz="0" w:space="1" w:color="auto"/>
          <w:right w:val="none" w:sz="0" w:space="4" w:color="auto"/>
        </w:pBdr>
        <w:overflowPunct w:val="0"/>
        <w:spacing w:line="610" w:lineRule="exact"/>
        <w:jc w:val="center"/>
        <w:outlineLvl w:val="2"/>
        <w:rPr>
          <w:rFonts w:ascii="Times New Roman" w:eastAsia="楷体" w:hAnsi="Times New Roman" w:cs="楷体"/>
          <w:bCs/>
          <w:sz w:val="32"/>
          <w:szCs w:val="32"/>
        </w:rPr>
      </w:pPr>
      <w:bookmarkStart w:id="42" w:name="_Toc7798"/>
      <w:r>
        <w:rPr>
          <w:rFonts w:ascii="Times New Roman" w:eastAsia="楷体" w:hAnsi="Times New Roman" w:cs="楷体"/>
          <w:bCs/>
          <w:sz w:val="32"/>
          <w:szCs w:val="32"/>
        </w:rPr>
        <w:t>第三节</w:t>
      </w:r>
      <w:r>
        <w:rPr>
          <w:rFonts w:ascii="Times New Roman" w:eastAsia="楷体" w:hAnsi="Times New Roman" w:cs="楷体"/>
          <w:bCs/>
          <w:sz w:val="32"/>
          <w:szCs w:val="32"/>
        </w:rPr>
        <w:t>2035</w:t>
      </w:r>
      <w:r>
        <w:rPr>
          <w:rFonts w:ascii="Times New Roman" w:eastAsia="楷体" w:hAnsi="Times New Roman" w:cs="楷体"/>
          <w:bCs/>
          <w:sz w:val="32"/>
          <w:szCs w:val="32"/>
        </w:rPr>
        <w:t>年远景目标</w:t>
      </w:r>
      <w:bookmarkEnd w:id="40"/>
      <w:bookmarkEnd w:id="42"/>
    </w:p>
    <w:p w:rsidR="001328A6" w:rsidRDefault="001328A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Times New Roman"/>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2035</w:t>
      </w:r>
      <w:r>
        <w:rPr>
          <w:rFonts w:ascii="Times New Roman" w:eastAsia="仿宋" w:hAnsi="Times New Roman" w:cs="Times New Roman"/>
          <w:bCs/>
          <w:sz w:val="30"/>
          <w:szCs w:val="30"/>
        </w:rPr>
        <w:t>年，我市将同全国</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全区一道基本实现社会主义现代化。综合经济实力大幅提升，经济总量和城乡居民人均收入再上新的大台阶；科技创新实力不断增强，新型工业化、信息化、城镇化、农业现代化基本实现，现代化经济体系全面建成，绿色发展水平大幅跃升；市域治理体系和治理能力现代化基本实现，各民族大团结局面持续巩固，法治乌海基本建成，平安乌海建设达到更高水平；文化软实力显著增强，各族人民素质和社会文明程度达到新高度；区域生态环境根本好转，绿色生产生活方式普遍构建；区域合作进一步密切，对外开放新格局全面形成；人均地区生产总值处于全国前列，基本公共服务实现均等化，城乡区域发展差距和居民生活水平差距显著缩小，中等收入群体明显扩大，人的全面发展、人民共同富裕取得更明显的实质性进展。</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0"/>
          <w:szCs w:val="30"/>
        </w:rPr>
      </w:pPr>
      <w:bookmarkStart w:id="43" w:name="_Toc4674"/>
      <w:bookmarkStart w:id="44" w:name="_Toc8728"/>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0"/>
          <w:szCs w:val="30"/>
        </w:rPr>
      </w:pPr>
      <w:r>
        <w:rPr>
          <w:rFonts w:ascii="Times New Roman" w:eastAsia="楷体" w:hAnsi="Times New Roman" w:cs="楷体"/>
          <w:bCs/>
          <w:sz w:val="30"/>
          <w:szCs w:val="30"/>
        </w:rPr>
        <w:lastRenderedPageBreak/>
        <w:t>第四节</w:t>
      </w:r>
      <w:bookmarkEnd w:id="41"/>
      <w:r>
        <w:rPr>
          <w:rFonts w:ascii="Times New Roman" w:eastAsia="楷体" w:hAnsi="Times New Roman" w:cs="楷体" w:hint="eastAsia"/>
          <w:bCs/>
          <w:sz w:val="30"/>
          <w:szCs w:val="30"/>
        </w:rPr>
        <w:t>“</w:t>
      </w:r>
      <w:r>
        <w:rPr>
          <w:rFonts w:ascii="Times New Roman" w:eastAsia="楷体" w:hAnsi="Times New Roman" w:cs="楷体"/>
          <w:bCs/>
          <w:sz w:val="30"/>
          <w:szCs w:val="30"/>
        </w:rPr>
        <w:t>十四五</w:t>
      </w:r>
      <w:r>
        <w:rPr>
          <w:rFonts w:ascii="Times New Roman" w:eastAsia="楷体" w:hAnsi="Times New Roman" w:cs="楷体" w:hint="eastAsia"/>
          <w:bCs/>
          <w:sz w:val="30"/>
          <w:szCs w:val="30"/>
        </w:rPr>
        <w:t>”</w:t>
      </w:r>
      <w:r>
        <w:rPr>
          <w:rFonts w:ascii="Times New Roman" w:eastAsia="楷体" w:hAnsi="Times New Roman" w:cs="楷体"/>
          <w:bCs/>
          <w:sz w:val="30"/>
          <w:szCs w:val="30"/>
        </w:rPr>
        <w:t>时期经济社会发展主要目标</w:t>
      </w:r>
      <w:bookmarkEnd w:id="43"/>
      <w:bookmarkEnd w:id="44"/>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Times New Roman"/>
          <w:bCs/>
          <w:sz w:val="30"/>
          <w:szCs w:val="30"/>
        </w:rPr>
      </w:pPr>
      <w:bookmarkStart w:id="45" w:name="_Toc5979"/>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十四五</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时期，我市将锚定</w:t>
      </w:r>
      <w:r>
        <w:rPr>
          <w:rFonts w:ascii="Times New Roman" w:eastAsia="仿宋" w:hAnsi="Times New Roman" w:cs="Times New Roman"/>
          <w:bCs/>
          <w:sz w:val="30"/>
          <w:szCs w:val="30"/>
        </w:rPr>
        <w:t>2035</w:t>
      </w:r>
      <w:r>
        <w:rPr>
          <w:rFonts w:ascii="Times New Roman" w:eastAsia="仿宋" w:hAnsi="Times New Roman" w:cs="Times New Roman"/>
          <w:bCs/>
          <w:sz w:val="30"/>
          <w:szCs w:val="30"/>
        </w:rPr>
        <w:t>年远景目标，牢牢把握进入新发展阶段、贯彻新发展理念、构建新发展格局的丰富内涵和实践要求，全面落实黄河流域生态保护和高质量发展战略，坚持目标导向和问题导向相结合，坚持守正和创新相统一，坚持发展和安全相统筹，注重发展政策的延续性、协调性、创新性，一张蓝图绘到底，在转型发展示范区、城乡融合先行区、生态环保攻坚区、投资贸易首选区、优教优医普惠区建设取得重要成果的基础上，</w:t>
      </w:r>
      <w:r>
        <w:rPr>
          <w:rFonts w:ascii="Times New Roman" w:eastAsia="仿宋" w:hAnsi="Times New Roman" w:cs="方正仿宋_GB2312" w:hint="eastAsia"/>
          <w:bCs/>
          <w:sz w:val="30"/>
          <w:szCs w:val="30"/>
        </w:rPr>
        <w:t>着力打造高质量发展、高效能治理、高品质生活的生态城市、创新城市、智慧城市，实现“生态质量更高、转型步伐更快、创新动力更足、城市功能更强、生活品质更优”的发展目标。</w:t>
      </w:r>
    </w:p>
    <w:p w:rsidR="001328A6" w:rsidRDefault="007F3236">
      <w:pPr>
        <w:overflowPunct w:val="0"/>
        <w:spacing w:line="58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工矿城市向生态城市转，实现生态质量更高。按照习近平总书记</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着力抓好乌海及周边地区等重点区域生态环境综合治理</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的重要指示要求，将</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共抓大保护、不搞大开发</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作为红线，立足全区生态保护修复和污染防治的主战场，不断强化黄河出宁入蒙</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首站</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首责</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意识，坚决抓好山水林田湖草沙综合治理、系统治理、源头治理，治污力度持续加大。国土空间开发保护格局得到优化，生产生活方式绿色转型成效显著，生态文明制度体系更加健全，实现地区生态质量和稳定性全面提升。深入开展大气污染联防联控联治，主要污染物排放持续减少，乌海及周边地区大气环境状况持续好转。大力推进绿色矿山建设，所有矿山达到现行绿色矿山标准要求。节</w:t>
      </w:r>
      <w:r>
        <w:rPr>
          <w:rFonts w:ascii="Times New Roman" w:eastAsia="仿宋" w:hAnsi="Times New Roman" w:cs="Times New Roman"/>
          <w:bCs/>
          <w:sz w:val="30"/>
          <w:szCs w:val="30"/>
        </w:rPr>
        <w:lastRenderedPageBreak/>
        <w:t>水、节能、降碳等先进技术广泛应用，用水、能耗、碳排放等指标达到自治区目标要求。开展碳排放达峰研究，完成阶段性目标。</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Times New Roman"/>
          <w:bCs/>
          <w:sz w:val="30"/>
          <w:szCs w:val="30"/>
        </w:rPr>
      </w:pPr>
      <w:r>
        <w:rPr>
          <w:rFonts w:ascii="Times New Roman" w:eastAsia="仿宋" w:hAnsi="Times New Roman" w:cs="Times New Roman"/>
          <w:bCs/>
          <w:sz w:val="30"/>
          <w:szCs w:val="30"/>
        </w:rPr>
        <w:t>资源型产业向低碳产业转，实现转型步伐更快。按照习近平总书记</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努力改变产业</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四多四少</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状况</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的重要指示要求，围绕国家赋予我市</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以乌海及周边地区为重点，建设全国重要的焦化、聚氯乙烯生产加工基地</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的发展定位，坚持科技创新驱动，坚决将水资源、能源资源消耗和污染物排放作为产业发展刚性约束，提高经济开发区能效水平和循环利用效率，淘汰落后产能，加快整合重组，资源枯竭型城市转型步伐进一步加快。煤焦化工、氯碱化工等产业向高端绿色智能方向转型，产业基础高级化、产业链现代化有力推进，传统产业链条不断延长，产品附加值明显提升，发展质量效益持续增强。现代能源经济加快发展，形成多种能源协同互补发展的良好局面。新材料、节能环保、生物医药等战略性新兴产业规模持续扩大，数字经济与实体经济深度融合，现代服务业质量提升、品牌打造、标准树立扎实推进，特色农业与二三产业融合发展，基础设施保障能力大幅提高。</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640"/>
        <w:rPr>
          <w:rFonts w:ascii="Times New Roman" w:eastAsia="仿宋" w:hAnsi="Times New Roman" w:cs="Times New Roman"/>
          <w:bCs/>
          <w:sz w:val="30"/>
          <w:szCs w:val="30"/>
        </w:rPr>
      </w:pPr>
      <w:r>
        <w:rPr>
          <w:rFonts w:ascii="Times New Roman" w:eastAsia="仿宋" w:hAnsi="Times New Roman" w:cs="Times New Roman"/>
          <w:bCs/>
          <w:sz w:val="30"/>
          <w:szCs w:val="30"/>
        </w:rPr>
        <w:t>传统动能向创新动能转，实现创新动力更足。按照习近平总书记</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推动转方式同创新驱动发展相结合，把转方式有效融入创新驱动发展之中</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的重要指示要求，坚持创新在现代化建设全局中的核心地位，创新主体培育、创新平台提升、科技成果转化持续加强，研发投入大幅增加，经济发展方式逐步实现由要素驱动向创新驱动转变，传统动能持续优化，创新型城市建设迈出新步伐。围绕产业</w:t>
      </w:r>
      <w:r>
        <w:rPr>
          <w:rFonts w:ascii="Times New Roman" w:eastAsia="仿宋" w:hAnsi="Times New Roman" w:cs="Times New Roman"/>
          <w:bCs/>
          <w:sz w:val="30"/>
          <w:szCs w:val="30"/>
        </w:rPr>
        <w:lastRenderedPageBreak/>
        <w:t>链部署创新链，科研与实体经济有机融合，工业发展、节能减排等关键技术瓶颈</w:t>
      </w:r>
      <w:r>
        <w:rPr>
          <w:rFonts w:ascii="Times New Roman" w:eastAsia="仿宋" w:hAnsi="Times New Roman" w:cs="Times New Roman" w:hint="eastAsia"/>
          <w:bCs/>
          <w:sz w:val="30"/>
          <w:szCs w:val="30"/>
        </w:rPr>
        <w:t>实现</w:t>
      </w:r>
      <w:r>
        <w:rPr>
          <w:rFonts w:ascii="Times New Roman" w:eastAsia="仿宋" w:hAnsi="Times New Roman" w:cs="Times New Roman"/>
          <w:bCs/>
          <w:sz w:val="30"/>
          <w:szCs w:val="30"/>
        </w:rPr>
        <w:t>新突破，在部分优势特色领域</w:t>
      </w:r>
      <w:r>
        <w:rPr>
          <w:rFonts w:ascii="Times New Roman" w:eastAsia="仿宋" w:hAnsi="Times New Roman" w:cs="Times New Roman" w:hint="eastAsia"/>
          <w:bCs/>
          <w:sz w:val="30"/>
          <w:szCs w:val="30"/>
        </w:rPr>
        <w:t>走在</w:t>
      </w:r>
      <w:r>
        <w:rPr>
          <w:rFonts w:ascii="Times New Roman" w:eastAsia="仿宋" w:hAnsi="Times New Roman" w:cs="Times New Roman"/>
          <w:bCs/>
          <w:sz w:val="30"/>
          <w:szCs w:val="30"/>
        </w:rPr>
        <w:t>科技创新前沿。深入实施高新技术企业培育工程，力争到</w:t>
      </w:r>
      <w:r>
        <w:rPr>
          <w:rFonts w:ascii="Times New Roman" w:eastAsia="仿宋" w:hAnsi="Times New Roman" w:cs="Times New Roman"/>
          <w:bCs/>
          <w:sz w:val="30"/>
          <w:szCs w:val="30"/>
        </w:rPr>
        <w:t>2025</w:t>
      </w:r>
      <w:r>
        <w:rPr>
          <w:rFonts w:ascii="Times New Roman" w:eastAsia="仿宋" w:hAnsi="Times New Roman" w:cs="Times New Roman"/>
          <w:bCs/>
          <w:sz w:val="30"/>
          <w:szCs w:val="30"/>
        </w:rPr>
        <w:t>年高新技术企业达到</w:t>
      </w:r>
      <w:r>
        <w:rPr>
          <w:rFonts w:ascii="Times New Roman" w:eastAsia="仿宋" w:hAnsi="Times New Roman" w:cs="Times New Roman"/>
          <w:bCs/>
          <w:sz w:val="30"/>
          <w:szCs w:val="30"/>
        </w:rPr>
        <w:t>50</w:t>
      </w:r>
      <w:r>
        <w:rPr>
          <w:rFonts w:ascii="Times New Roman" w:eastAsia="仿宋" w:hAnsi="Times New Roman" w:cs="Times New Roman"/>
          <w:bCs/>
          <w:sz w:val="30"/>
          <w:szCs w:val="30"/>
        </w:rPr>
        <w:t>家，国家氢能技术创新中心等平台建设加快推进。培育壮大创新人才队伍，人才服务保障机制加快创新完善。密切与国内知名高校、科研院所交流合作，</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异地孵化、乌海转化</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模式有效运行。以创新为主要内容的全面深化改革深入推进，政府行政效率和公信力显著提升，营商环境进一步优化。主动服务融入国内大市场、大循环，对外开放广度和深度不断拓展。</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641"/>
        <w:rPr>
          <w:rFonts w:ascii="Times New Roman" w:eastAsia="仿宋" w:hAnsi="Times New Roman" w:cs="Times New Roman"/>
          <w:bCs/>
          <w:sz w:val="30"/>
          <w:szCs w:val="30"/>
        </w:rPr>
      </w:pPr>
      <w:r>
        <w:rPr>
          <w:rFonts w:ascii="Times New Roman" w:eastAsia="仿宋" w:hAnsi="Times New Roman" w:cs="Times New Roman"/>
          <w:bCs/>
          <w:sz w:val="30"/>
          <w:szCs w:val="30"/>
        </w:rPr>
        <w:t>城市由基础功能型向智慧高效型转，实现城市功能更强。按照习近平总书记</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城市建设要坚持以人民为中心，聚焦人民群众的需求，合理安排生产、生活、生态空间，走内涵式、集约型、绿色化的高质量发展路子</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的重要指示要求，加快建设智慧高效城市，便民服务和精细化管理水平全方位提升。城乡共建共治共享有力推动，国家级市域社会治理现代化</w:t>
      </w:r>
      <w:r>
        <w:rPr>
          <w:rFonts w:ascii="Times New Roman" w:eastAsia="仿宋" w:hAnsi="Times New Roman" w:cs="Times New Roman" w:hint="eastAsia"/>
          <w:bCs/>
          <w:sz w:val="30"/>
          <w:szCs w:val="30"/>
        </w:rPr>
        <w:t>试点</w:t>
      </w:r>
      <w:r>
        <w:rPr>
          <w:rFonts w:ascii="Times New Roman" w:eastAsia="仿宋" w:hAnsi="Times New Roman" w:cs="Times New Roman"/>
          <w:bCs/>
          <w:sz w:val="30"/>
          <w:szCs w:val="30"/>
        </w:rPr>
        <w:t>建设取得新突破，防范化解重大风险体制机制不断健全，突发公共事件应急能力显著增强，自然灾害防御水平大幅提升，社会治安防控水平不断提高。社会主义民主法治更加健全，社会公平正义进一步彰显。实施城市更新行动，旧城改造和滨河新区开发有序推进，地区承载能力逐步提高，城乡人居环境更加优美，城市空间布局日趋合理。区域性商贸、物流、金融、研发、设计、商务等服务业现代化水平不断提升，服务带动周边功能更加健全高效。</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641"/>
        <w:rPr>
          <w:rFonts w:ascii="Times New Roman" w:eastAsia="仿宋" w:hAnsi="Times New Roman" w:cs="Times New Roman"/>
          <w:bCs/>
          <w:sz w:val="30"/>
          <w:szCs w:val="30"/>
        </w:rPr>
      </w:pPr>
      <w:r>
        <w:rPr>
          <w:rFonts w:ascii="Times New Roman" w:eastAsia="仿宋" w:hAnsi="Times New Roman" w:cs="Times New Roman"/>
          <w:bCs/>
          <w:sz w:val="30"/>
          <w:szCs w:val="30"/>
        </w:rPr>
        <w:lastRenderedPageBreak/>
        <w:t>服务供给由基本均衡向优质均等转，实现生活品质更优。按照习近平总书记</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坚持人民至上、紧紧依靠人民、不断造福人民、牢牢植根人民</w:t>
      </w:r>
      <w:r>
        <w:rPr>
          <w:rFonts w:ascii="Times New Roman" w:eastAsia="仿宋" w:hAnsi="Times New Roman" w:cs="Times New Roman" w:hint="eastAsia"/>
          <w:bCs/>
          <w:sz w:val="30"/>
          <w:szCs w:val="30"/>
        </w:rPr>
        <w:t>”</w:t>
      </w:r>
      <w:r>
        <w:rPr>
          <w:rFonts w:ascii="Times New Roman" w:eastAsia="仿宋" w:hAnsi="Times New Roman" w:cs="Times New Roman"/>
          <w:bCs/>
          <w:sz w:val="30"/>
          <w:szCs w:val="30"/>
        </w:rPr>
        <w:t>的重要指示要求，坚持从人的全面发展和社会全面进步出发，实现城乡居民收入稳步增长，分配结构更加优化。基本公共服务更加优质均衡，就业更加充分更有质量，教育现代化水平明显提升，卫生健康服务体系更加完善，多层次社会保障体系更加健全。坚持以社会主义核心价值观引领文化建设，中华民族共同体意识深深扎根，各民族大团结局面巩固发展。公共文化服务体系和产业体系更加健全，文化旅游、文体娱乐等优质产品供给更加充分，群众性精神文化生活日益丰富。脱贫攻坚成果巩固拓展，乡村振兴战略全面推进，人民群众的获得感成色更足、幸福感更可持续、安全感更有保障</w:t>
      </w:r>
      <w:bookmarkEnd w:id="45"/>
      <w:r>
        <w:rPr>
          <w:rFonts w:ascii="Times New Roman" w:eastAsia="仿宋" w:hAnsi="Times New Roman" w:cs="Times New Roman"/>
          <w:bCs/>
          <w:sz w:val="30"/>
          <w:szCs w:val="30"/>
        </w:rPr>
        <w:t>。</w:t>
      </w:r>
      <w:bookmarkEnd w:id="32"/>
      <w:bookmarkEnd w:id="33"/>
      <w:bookmarkEnd w:id="34"/>
    </w:p>
    <w:p w:rsidR="001328A6" w:rsidRDefault="001328A6">
      <w:pPr>
        <w:pStyle w:val="a0"/>
        <w:rPr>
          <w:rFonts w:ascii="Times New Roman" w:eastAsia="仿宋" w:hAnsi="Times New Roman" w:cs="Times New Roman"/>
          <w:b w:val="0"/>
          <w:sz w:val="30"/>
          <w:szCs w:val="30"/>
        </w:rPr>
      </w:pPr>
    </w:p>
    <w:p w:rsidR="001328A6" w:rsidRDefault="007F3236">
      <w:pPr>
        <w:rPr>
          <w:rFonts w:ascii="Times New Roman" w:hAnsi="Times New Roman"/>
        </w:rPr>
      </w:pPr>
      <w:r>
        <w:rPr>
          <w:rFonts w:ascii="Times New Roman" w:hAnsi="Times New Roman"/>
        </w:rPr>
        <w:br w:type="page"/>
      </w:r>
    </w:p>
    <w:p w:rsidR="001328A6" w:rsidRDefault="001328A6">
      <w:pPr>
        <w:pStyle w:val="a0"/>
        <w:spacing w:before="0" w:after="0" w:line="240" w:lineRule="exact"/>
        <w:outlineLvl w:val="9"/>
        <w:rPr>
          <w:rFonts w:ascii="Times New Roman" w:hAnsi="Times New Roman"/>
        </w:rPr>
      </w:pPr>
    </w:p>
    <w:tbl>
      <w:tblPr>
        <w:tblW w:w="9255"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tblPr>
      <w:tblGrid>
        <w:gridCol w:w="642"/>
        <w:gridCol w:w="3866"/>
        <w:gridCol w:w="847"/>
        <w:gridCol w:w="1734"/>
        <w:gridCol w:w="1266"/>
        <w:gridCol w:w="900"/>
      </w:tblGrid>
      <w:tr w:rsidR="001328A6">
        <w:trPr>
          <w:trHeight w:hRule="exact" w:val="494"/>
          <w:jc w:val="center"/>
        </w:trPr>
        <w:tc>
          <w:tcPr>
            <w:tcW w:w="9255" w:type="dxa"/>
            <w:gridSpan w:val="6"/>
            <w:tcBorders>
              <w:bottom w:val="nil"/>
            </w:tcBorders>
            <w:shd w:val="clear" w:color="auto" w:fill="auto"/>
            <w:tcMar>
              <w:top w:w="15" w:type="dxa"/>
              <w:left w:w="15" w:type="dxa"/>
              <w:right w:w="15" w:type="dxa"/>
            </w:tcMar>
            <w:vAlign w:val="center"/>
          </w:tcPr>
          <w:p w:rsidR="001328A6" w:rsidRDefault="007F3236">
            <w:pPr>
              <w:overflowPunct w:val="0"/>
              <w:spacing w:line="480" w:lineRule="exact"/>
              <w:jc w:val="center"/>
              <w:rPr>
                <w:rFonts w:ascii="Times New Roman" w:eastAsia="仿宋_GB2312" w:hAnsi="Times New Roman" w:cs="Times New Roman"/>
                <w:bCs/>
                <w:sz w:val="32"/>
                <w:szCs w:val="32"/>
              </w:rPr>
            </w:pPr>
            <w:r>
              <w:rPr>
                <w:rFonts w:ascii="Times New Roman" w:hAnsi="Times New Roman" w:cstheme="minorEastAsia" w:hint="eastAsia"/>
                <w:b/>
                <w:sz w:val="24"/>
                <w:szCs w:val="24"/>
              </w:rPr>
              <w:br w:type="page"/>
            </w:r>
            <w:r>
              <w:rPr>
                <w:rFonts w:ascii="Times New Roman" w:hAnsi="Times New Roman" w:cstheme="minorEastAsia" w:hint="eastAsia"/>
                <w:b/>
                <w:sz w:val="24"/>
                <w:szCs w:val="24"/>
              </w:rPr>
              <w:t>专栏</w:t>
            </w:r>
            <w:r>
              <w:rPr>
                <w:rFonts w:ascii="Times New Roman" w:hAnsi="Times New Roman" w:cstheme="minorEastAsia" w:hint="eastAsia"/>
                <w:b/>
                <w:sz w:val="24"/>
                <w:szCs w:val="24"/>
              </w:rPr>
              <w:t xml:space="preserve">1 </w:t>
            </w:r>
            <w:r>
              <w:rPr>
                <w:rFonts w:ascii="Times New Roman" w:hAnsi="Times New Roman" w:cstheme="minorEastAsia" w:hint="eastAsia"/>
                <w:b/>
                <w:sz w:val="24"/>
                <w:szCs w:val="24"/>
              </w:rPr>
              <w:t>乌海市“十四五”时期经济社会发展主要指标</w:t>
            </w:r>
          </w:p>
        </w:tc>
      </w:tr>
      <w:tr w:rsidR="001328A6">
        <w:trPr>
          <w:trHeight w:hRule="exact" w:val="754"/>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240" w:lineRule="exact"/>
              <w:jc w:val="center"/>
              <w:textAlignment w:val="center"/>
              <w:rPr>
                <w:rFonts w:ascii="Times New Roman" w:eastAsia="黑体" w:hAnsi="Times New Roman" w:cs="黑体"/>
                <w:bCs/>
                <w:color w:val="000000"/>
                <w:kern w:val="0"/>
                <w:sz w:val="20"/>
                <w:szCs w:val="20"/>
              </w:rPr>
            </w:pPr>
            <w:r>
              <w:rPr>
                <w:rFonts w:ascii="Times New Roman" w:eastAsia="黑体" w:hAnsi="Times New Roman" w:cs="黑体" w:hint="eastAsia"/>
                <w:bCs/>
                <w:color w:val="000000"/>
                <w:kern w:val="0"/>
                <w:sz w:val="20"/>
                <w:szCs w:val="20"/>
              </w:rPr>
              <w:t>类</w:t>
            </w:r>
          </w:p>
          <w:p w:rsidR="001328A6" w:rsidRDefault="007F3236">
            <w:pPr>
              <w:overflowPunct w:val="0"/>
              <w:spacing w:line="240" w:lineRule="exact"/>
              <w:jc w:val="center"/>
              <w:textAlignment w:val="center"/>
              <w:rPr>
                <w:rFonts w:ascii="Times New Roman" w:eastAsia="黑体" w:hAnsi="Times New Roman" w:cs="黑体"/>
                <w:bCs/>
                <w:color w:val="000000"/>
                <w:sz w:val="20"/>
                <w:szCs w:val="20"/>
              </w:rPr>
            </w:pPr>
            <w:r>
              <w:rPr>
                <w:rFonts w:ascii="Times New Roman" w:eastAsia="黑体" w:hAnsi="Times New Roman" w:cs="黑体" w:hint="eastAsia"/>
                <w:bCs/>
                <w:color w:val="000000"/>
                <w:kern w:val="0"/>
                <w:sz w:val="20"/>
                <w:szCs w:val="20"/>
              </w:rPr>
              <w:t>别</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黑体" w:hAnsi="Times New Roman" w:cs="黑体"/>
                <w:bCs/>
                <w:color w:val="000000"/>
                <w:sz w:val="20"/>
                <w:szCs w:val="20"/>
              </w:rPr>
            </w:pPr>
            <w:r>
              <w:rPr>
                <w:rFonts w:ascii="Times New Roman" w:eastAsia="黑体" w:hAnsi="Times New Roman" w:cs="黑体" w:hint="eastAsia"/>
                <w:bCs/>
                <w:color w:val="000000"/>
                <w:kern w:val="0"/>
                <w:sz w:val="20"/>
                <w:szCs w:val="20"/>
              </w:rPr>
              <w:t>指标</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黑体" w:hAnsi="Times New Roman" w:cs="黑体"/>
                <w:bCs/>
                <w:color w:val="000000"/>
                <w:sz w:val="20"/>
                <w:szCs w:val="20"/>
              </w:rPr>
            </w:pPr>
            <w:r>
              <w:rPr>
                <w:rFonts w:ascii="Times New Roman" w:eastAsia="黑体" w:hAnsi="Times New Roman" w:cs="黑体" w:hint="eastAsia"/>
                <w:bCs/>
                <w:color w:val="000000"/>
                <w:kern w:val="0"/>
                <w:sz w:val="20"/>
                <w:szCs w:val="20"/>
              </w:rPr>
              <w:t>2020</w:t>
            </w:r>
            <w:r>
              <w:rPr>
                <w:rFonts w:ascii="Times New Roman" w:eastAsia="黑体" w:hAnsi="Times New Roman" w:cs="黑体" w:hint="eastAsia"/>
                <w:bCs/>
                <w:color w:val="000000"/>
                <w:kern w:val="0"/>
                <w:sz w:val="20"/>
                <w:szCs w:val="20"/>
              </w:rPr>
              <w:t>年</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黑体" w:hAnsi="Times New Roman" w:cs="黑体"/>
                <w:bCs/>
                <w:color w:val="000000"/>
                <w:sz w:val="20"/>
                <w:szCs w:val="20"/>
              </w:rPr>
            </w:pPr>
            <w:r>
              <w:rPr>
                <w:rFonts w:ascii="Times New Roman" w:eastAsia="黑体" w:hAnsi="Times New Roman" w:cs="黑体" w:hint="eastAsia"/>
                <w:bCs/>
                <w:color w:val="000000"/>
                <w:kern w:val="0"/>
                <w:sz w:val="20"/>
                <w:szCs w:val="20"/>
              </w:rPr>
              <w:t>2025</w:t>
            </w:r>
            <w:r>
              <w:rPr>
                <w:rFonts w:ascii="Times New Roman" w:eastAsia="黑体" w:hAnsi="Times New Roman" w:cs="黑体" w:hint="eastAsia"/>
                <w:bCs/>
                <w:color w:val="000000"/>
                <w:kern w:val="0"/>
                <w:sz w:val="20"/>
                <w:szCs w:val="20"/>
              </w:rPr>
              <w:t>年目标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240" w:lineRule="exact"/>
              <w:jc w:val="center"/>
              <w:textAlignment w:val="center"/>
              <w:rPr>
                <w:rFonts w:ascii="Times New Roman" w:eastAsia="黑体" w:hAnsi="Times New Roman" w:cs="黑体"/>
                <w:bCs/>
                <w:color w:val="000000"/>
                <w:kern w:val="0"/>
                <w:sz w:val="20"/>
                <w:szCs w:val="20"/>
              </w:rPr>
            </w:pPr>
            <w:r>
              <w:rPr>
                <w:rFonts w:ascii="Times New Roman" w:eastAsia="黑体" w:hAnsi="Times New Roman" w:cs="黑体" w:hint="eastAsia"/>
                <w:bCs/>
                <w:color w:val="000000"/>
                <w:kern w:val="0"/>
                <w:sz w:val="20"/>
                <w:szCs w:val="20"/>
              </w:rPr>
              <w:t>年均增长</w:t>
            </w:r>
          </w:p>
          <w:p w:rsidR="001328A6" w:rsidRDefault="007F3236">
            <w:pPr>
              <w:overflowPunct w:val="0"/>
              <w:spacing w:line="240" w:lineRule="exact"/>
              <w:jc w:val="center"/>
              <w:textAlignment w:val="center"/>
              <w:rPr>
                <w:rFonts w:ascii="Times New Roman" w:eastAsia="黑体" w:hAnsi="Times New Roman" w:cs="黑体"/>
                <w:bCs/>
                <w:color w:val="000000"/>
                <w:sz w:val="20"/>
                <w:szCs w:val="20"/>
              </w:rPr>
            </w:pPr>
            <w:r>
              <w:rPr>
                <w:rFonts w:ascii="Times New Roman" w:eastAsia="黑体" w:hAnsi="Times New Roman" w:cs="黑体" w:hint="eastAsia"/>
                <w:bCs/>
                <w:color w:val="000000"/>
                <w:kern w:val="0"/>
                <w:sz w:val="20"/>
                <w:szCs w:val="20"/>
              </w:rPr>
              <w:t>（</w:t>
            </w:r>
            <w:r>
              <w:rPr>
                <w:rFonts w:ascii="Times New Roman" w:eastAsia="黑体" w:hAnsi="Times New Roman" w:cs="黑体" w:hint="eastAsia"/>
                <w:bCs/>
                <w:color w:val="000000"/>
                <w:kern w:val="0"/>
                <w:sz w:val="20"/>
                <w:szCs w:val="20"/>
              </w:rPr>
              <w:t>%</w:t>
            </w:r>
            <w:r>
              <w:rPr>
                <w:rFonts w:ascii="Times New Roman" w:eastAsia="黑体" w:hAnsi="Times New Roman" w:cs="黑体" w:hint="eastAsia"/>
                <w:bCs/>
                <w:color w:val="000000"/>
                <w:kern w:val="0"/>
                <w:sz w:val="20"/>
                <w:szCs w:val="20"/>
              </w:rPr>
              <w:t>）</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黑体" w:hAnsi="Times New Roman" w:cs="黑体"/>
                <w:bCs/>
                <w:color w:val="000000"/>
                <w:sz w:val="20"/>
                <w:szCs w:val="20"/>
              </w:rPr>
            </w:pPr>
            <w:r>
              <w:rPr>
                <w:rFonts w:ascii="Times New Roman" w:eastAsia="黑体" w:hAnsi="Times New Roman" w:cs="黑体" w:hint="eastAsia"/>
                <w:bCs/>
                <w:color w:val="000000"/>
                <w:kern w:val="0"/>
                <w:sz w:val="20"/>
                <w:szCs w:val="20"/>
              </w:rPr>
              <w:t>属性</w:t>
            </w:r>
          </w:p>
        </w:tc>
      </w:tr>
      <w:tr w:rsidR="001328A6">
        <w:trPr>
          <w:trHeight w:hRule="exact" w:val="510"/>
          <w:jc w:val="center"/>
        </w:trPr>
        <w:tc>
          <w:tcPr>
            <w:tcW w:w="6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24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经</w:t>
            </w:r>
            <w:r>
              <w:rPr>
                <w:rFonts w:ascii="Times New Roman" w:eastAsia="宋体" w:hAnsi="Times New Roman" w:cs="Times New Roman"/>
                <w:bCs/>
                <w:color w:val="000000"/>
                <w:kern w:val="0"/>
                <w:sz w:val="18"/>
                <w:szCs w:val="18"/>
              </w:rPr>
              <w:br/>
            </w:r>
            <w:r>
              <w:rPr>
                <w:rFonts w:ascii="Times New Roman" w:eastAsia="宋体" w:hAnsi="Times New Roman" w:cs="Times New Roman"/>
                <w:bCs/>
                <w:color w:val="000000"/>
                <w:kern w:val="0"/>
                <w:sz w:val="18"/>
                <w:szCs w:val="18"/>
              </w:rPr>
              <w:t>济</w:t>
            </w:r>
            <w:r>
              <w:rPr>
                <w:rFonts w:ascii="Times New Roman" w:eastAsia="宋体" w:hAnsi="Times New Roman" w:cs="Times New Roman"/>
                <w:bCs/>
                <w:color w:val="000000"/>
                <w:kern w:val="0"/>
                <w:sz w:val="18"/>
                <w:szCs w:val="18"/>
              </w:rPr>
              <w:br/>
            </w:r>
            <w:r>
              <w:rPr>
                <w:rFonts w:ascii="Times New Roman" w:eastAsia="宋体" w:hAnsi="Times New Roman" w:cs="Times New Roman"/>
                <w:bCs/>
                <w:color w:val="000000"/>
                <w:kern w:val="0"/>
                <w:sz w:val="18"/>
                <w:szCs w:val="18"/>
              </w:rPr>
              <w:t>发</w:t>
            </w:r>
            <w:r>
              <w:rPr>
                <w:rFonts w:ascii="Times New Roman" w:eastAsia="宋体" w:hAnsi="Times New Roman" w:cs="Times New Roman"/>
                <w:bCs/>
                <w:color w:val="000000"/>
                <w:kern w:val="0"/>
                <w:sz w:val="18"/>
                <w:szCs w:val="18"/>
              </w:rPr>
              <w:br/>
            </w:r>
            <w:r>
              <w:rPr>
                <w:rFonts w:ascii="Times New Roman" w:eastAsia="宋体" w:hAnsi="Times New Roman" w:cs="Times New Roman"/>
                <w:bCs/>
                <w:color w:val="000000"/>
                <w:kern w:val="0"/>
                <w:sz w:val="18"/>
                <w:szCs w:val="18"/>
              </w:rPr>
              <w:t>展</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1</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地区生产总值增长（</w:t>
            </w:r>
            <w:r>
              <w:rPr>
                <w:rFonts w:ascii="Times New Roman" w:eastAsia="宋体" w:hAnsi="Times New Roman" w:cs="Times New Roman"/>
                <w:bCs/>
                <w:color w:val="000000"/>
                <w:kern w:val="0"/>
                <w:sz w:val="18"/>
                <w:szCs w:val="18"/>
              </w:rPr>
              <w:t>%</w:t>
            </w:r>
            <w:r>
              <w:rPr>
                <w:rFonts w:ascii="Times New Roman" w:eastAsia="宋体" w:hAnsi="Times New Roman" w:cs="Times New Roman"/>
                <w:bCs/>
                <w:color w:val="000000"/>
                <w:kern w:val="0"/>
                <w:sz w:val="18"/>
                <w:szCs w:val="18"/>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2.9</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5</w:t>
            </w:r>
            <w:r>
              <w:rPr>
                <w:rFonts w:ascii="Times New Roman" w:eastAsia="宋体" w:hAnsi="Times New Roman" w:cs="Times New Roman"/>
                <w:bCs/>
                <w:color w:val="000000"/>
                <w:kern w:val="0"/>
                <w:sz w:val="18"/>
                <w:szCs w:val="18"/>
              </w:rPr>
              <w:t>左右</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预期性</w:t>
            </w:r>
          </w:p>
        </w:tc>
      </w:tr>
      <w:tr w:rsidR="001328A6">
        <w:trPr>
          <w:trHeight w:hRule="exact" w:val="510"/>
          <w:jc w:val="center"/>
        </w:trPr>
        <w:tc>
          <w:tcPr>
            <w:tcW w:w="6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1328A6">
            <w:pPr>
              <w:overflowPunct w:val="0"/>
              <w:spacing w:line="240" w:lineRule="exact"/>
              <w:jc w:val="center"/>
              <w:rPr>
                <w:rFonts w:ascii="Times New Roman" w:eastAsia="宋体" w:hAnsi="Times New Roman" w:cs="Times New Roman"/>
                <w:bCs/>
                <w:color w:val="000000"/>
                <w:sz w:val="18"/>
                <w:szCs w:val="18"/>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2</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全员劳动生产率增长</w:t>
            </w:r>
            <w:r>
              <w:rPr>
                <w:rFonts w:ascii="Times New Roman" w:eastAsia="宋体" w:hAnsi="Times New Roman" w:cs="Times New Roman" w:hint="eastAsia"/>
                <w:bCs/>
                <w:color w:val="000000"/>
                <w:kern w:val="0"/>
                <w:sz w:val="18"/>
                <w:szCs w:val="18"/>
              </w:rPr>
              <w:t>（预计）</w:t>
            </w:r>
            <w:r>
              <w:rPr>
                <w:rFonts w:ascii="Times New Roman" w:eastAsia="宋体" w:hAnsi="Times New Roman" w:cs="Times New Roman"/>
                <w:bCs/>
                <w:color w:val="000000"/>
                <w:kern w:val="0"/>
                <w:sz w:val="18"/>
                <w:szCs w:val="18"/>
              </w:rPr>
              <w:t>（</w:t>
            </w:r>
            <w:r>
              <w:rPr>
                <w:rFonts w:ascii="Times New Roman" w:eastAsia="宋体" w:hAnsi="Times New Roman" w:cs="Times New Roman"/>
                <w:bCs/>
                <w:color w:val="000000"/>
                <w:kern w:val="0"/>
                <w:sz w:val="18"/>
                <w:szCs w:val="18"/>
              </w:rPr>
              <w:t>%</w:t>
            </w:r>
            <w:r>
              <w:rPr>
                <w:rFonts w:ascii="Times New Roman" w:eastAsia="宋体" w:hAnsi="Times New Roman" w:cs="Times New Roman"/>
                <w:bCs/>
                <w:color w:val="000000"/>
                <w:kern w:val="0"/>
                <w:sz w:val="18"/>
                <w:szCs w:val="18"/>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5</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5</w:t>
            </w:r>
            <w:r>
              <w:rPr>
                <w:rFonts w:ascii="Times New Roman" w:eastAsia="宋体" w:hAnsi="Times New Roman" w:cs="Times New Roman"/>
                <w:bCs/>
                <w:color w:val="000000"/>
                <w:kern w:val="0"/>
                <w:sz w:val="18"/>
                <w:szCs w:val="18"/>
              </w:rPr>
              <w:t>左右</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预期性</w:t>
            </w:r>
          </w:p>
        </w:tc>
      </w:tr>
      <w:tr w:rsidR="001328A6">
        <w:trPr>
          <w:trHeight w:hRule="exact" w:val="510"/>
          <w:jc w:val="center"/>
        </w:trPr>
        <w:tc>
          <w:tcPr>
            <w:tcW w:w="6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1328A6">
            <w:pPr>
              <w:overflowPunct w:val="0"/>
              <w:spacing w:line="240" w:lineRule="exact"/>
              <w:jc w:val="center"/>
              <w:rPr>
                <w:rFonts w:ascii="Times New Roman" w:eastAsia="宋体" w:hAnsi="Times New Roman" w:cs="Times New Roman"/>
                <w:bCs/>
                <w:color w:val="000000"/>
                <w:sz w:val="18"/>
                <w:szCs w:val="18"/>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3</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常住人口城镇化率（</w:t>
            </w:r>
            <w:r>
              <w:rPr>
                <w:rFonts w:ascii="Times New Roman" w:eastAsia="宋体" w:hAnsi="Times New Roman" w:cs="Times New Roman"/>
                <w:bCs/>
                <w:color w:val="000000"/>
                <w:kern w:val="0"/>
                <w:sz w:val="18"/>
                <w:szCs w:val="18"/>
              </w:rPr>
              <w:t>%</w:t>
            </w:r>
            <w:r>
              <w:rPr>
                <w:rFonts w:ascii="Times New Roman" w:eastAsia="宋体" w:hAnsi="Times New Roman" w:cs="Times New Roman"/>
                <w:bCs/>
                <w:color w:val="000000"/>
                <w:kern w:val="0"/>
                <w:sz w:val="18"/>
                <w:szCs w:val="18"/>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sz w:val="18"/>
                <w:szCs w:val="18"/>
              </w:rPr>
              <w:t>95.37</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居自治区首位</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预期性</w:t>
            </w:r>
          </w:p>
        </w:tc>
      </w:tr>
      <w:tr w:rsidR="001328A6">
        <w:trPr>
          <w:trHeight w:hRule="exact" w:val="510"/>
          <w:jc w:val="center"/>
        </w:trPr>
        <w:tc>
          <w:tcPr>
            <w:tcW w:w="6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24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创</w:t>
            </w:r>
            <w:r>
              <w:rPr>
                <w:rFonts w:ascii="Times New Roman" w:eastAsia="宋体" w:hAnsi="Times New Roman" w:cs="Times New Roman"/>
                <w:bCs/>
                <w:color w:val="000000"/>
                <w:kern w:val="0"/>
                <w:sz w:val="18"/>
                <w:szCs w:val="18"/>
              </w:rPr>
              <w:br/>
            </w:r>
            <w:r>
              <w:rPr>
                <w:rFonts w:ascii="Times New Roman" w:eastAsia="宋体" w:hAnsi="Times New Roman" w:cs="Times New Roman"/>
                <w:bCs/>
                <w:color w:val="000000"/>
                <w:kern w:val="0"/>
                <w:sz w:val="18"/>
                <w:szCs w:val="18"/>
              </w:rPr>
              <w:t>新</w:t>
            </w:r>
            <w:r>
              <w:rPr>
                <w:rFonts w:ascii="Times New Roman" w:eastAsia="宋体" w:hAnsi="Times New Roman" w:cs="Times New Roman"/>
                <w:bCs/>
                <w:color w:val="000000"/>
                <w:kern w:val="0"/>
                <w:sz w:val="18"/>
                <w:szCs w:val="18"/>
              </w:rPr>
              <w:br/>
            </w:r>
            <w:r>
              <w:rPr>
                <w:rFonts w:ascii="Times New Roman" w:eastAsia="宋体" w:hAnsi="Times New Roman" w:cs="Times New Roman"/>
                <w:bCs/>
                <w:color w:val="000000"/>
                <w:kern w:val="0"/>
                <w:sz w:val="18"/>
                <w:szCs w:val="18"/>
              </w:rPr>
              <w:t>驱</w:t>
            </w:r>
            <w:r>
              <w:rPr>
                <w:rFonts w:ascii="Times New Roman" w:eastAsia="宋体" w:hAnsi="Times New Roman" w:cs="Times New Roman"/>
                <w:bCs/>
                <w:color w:val="000000"/>
                <w:kern w:val="0"/>
                <w:sz w:val="18"/>
                <w:szCs w:val="18"/>
              </w:rPr>
              <w:br/>
            </w:r>
            <w:r>
              <w:rPr>
                <w:rFonts w:ascii="Times New Roman" w:eastAsia="宋体" w:hAnsi="Times New Roman" w:cs="Times New Roman"/>
                <w:bCs/>
                <w:color w:val="000000"/>
                <w:kern w:val="0"/>
                <w:sz w:val="18"/>
                <w:szCs w:val="18"/>
              </w:rPr>
              <w:t>动</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4</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全社会研发经费投入增长（</w:t>
            </w:r>
            <w:r>
              <w:rPr>
                <w:rFonts w:ascii="Times New Roman" w:eastAsia="宋体" w:hAnsi="Times New Roman" w:cs="Times New Roman"/>
                <w:bCs/>
                <w:color w:val="000000"/>
                <w:kern w:val="0"/>
                <w:sz w:val="18"/>
                <w:szCs w:val="18"/>
              </w:rPr>
              <w:t>%</w:t>
            </w:r>
            <w:r>
              <w:rPr>
                <w:rFonts w:ascii="Times New Roman" w:eastAsia="宋体" w:hAnsi="Times New Roman" w:cs="Times New Roman"/>
                <w:bCs/>
                <w:color w:val="000000"/>
                <w:kern w:val="0"/>
                <w:sz w:val="18"/>
                <w:szCs w:val="18"/>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2.2</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12</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预期性</w:t>
            </w:r>
          </w:p>
        </w:tc>
      </w:tr>
      <w:tr w:rsidR="001328A6">
        <w:trPr>
          <w:trHeight w:hRule="exact" w:val="510"/>
          <w:jc w:val="center"/>
        </w:trPr>
        <w:tc>
          <w:tcPr>
            <w:tcW w:w="6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1328A6">
            <w:pPr>
              <w:overflowPunct w:val="0"/>
              <w:spacing w:line="240" w:lineRule="exact"/>
              <w:jc w:val="center"/>
              <w:rPr>
                <w:rFonts w:ascii="Times New Roman" w:eastAsia="宋体" w:hAnsi="Times New Roman" w:cs="Times New Roman"/>
                <w:bCs/>
                <w:color w:val="000000"/>
                <w:sz w:val="18"/>
                <w:szCs w:val="18"/>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5</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每万人口高价值发明专利拥有量（件）</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0.6</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预期性</w:t>
            </w:r>
          </w:p>
        </w:tc>
      </w:tr>
      <w:tr w:rsidR="001328A6">
        <w:trPr>
          <w:trHeight w:hRule="exact" w:val="466"/>
          <w:jc w:val="center"/>
        </w:trPr>
        <w:tc>
          <w:tcPr>
            <w:tcW w:w="6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1328A6">
            <w:pPr>
              <w:overflowPunct w:val="0"/>
              <w:spacing w:line="240" w:lineRule="exact"/>
              <w:jc w:val="center"/>
              <w:rPr>
                <w:rFonts w:ascii="Times New Roman" w:eastAsia="宋体" w:hAnsi="Times New Roman" w:cs="Times New Roman"/>
                <w:bCs/>
                <w:color w:val="000000"/>
                <w:sz w:val="18"/>
                <w:szCs w:val="18"/>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6</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数字经济</w:t>
            </w:r>
            <w:r>
              <w:rPr>
                <w:rStyle w:val="font112"/>
                <w:rFonts w:ascii="Times New Roman" w:hAnsi="Times New Roman" w:cs="Times New Roman" w:hint="default"/>
                <w:bCs/>
                <w:sz w:val="18"/>
                <w:szCs w:val="18"/>
              </w:rPr>
              <w:t>核心产业</w:t>
            </w:r>
            <w:r>
              <w:rPr>
                <w:rFonts w:ascii="Times New Roman" w:eastAsia="宋体" w:hAnsi="Times New Roman" w:cs="Times New Roman"/>
                <w:bCs/>
                <w:color w:val="000000"/>
                <w:kern w:val="0"/>
                <w:sz w:val="18"/>
                <w:szCs w:val="18"/>
              </w:rPr>
              <w:t>增加值占生产总值比重（</w:t>
            </w:r>
            <w:r>
              <w:rPr>
                <w:rFonts w:ascii="Times New Roman" w:eastAsia="宋体" w:hAnsi="Times New Roman" w:cs="Times New Roman"/>
                <w:bCs/>
                <w:color w:val="000000"/>
                <w:kern w:val="0"/>
                <w:sz w:val="18"/>
                <w:szCs w:val="18"/>
              </w:rPr>
              <w:t>%</w:t>
            </w:r>
            <w:r>
              <w:rPr>
                <w:rFonts w:ascii="Times New Roman" w:eastAsia="宋体" w:hAnsi="Times New Roman" w:cs="Times New Roman"/>
                <w:bCs/>
                <w:color w:val="000000"/>
                <w:kern w:val="0"/>
                <w:sz w:val="18"/>
                <w:szCs w:val="18"/>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0.25</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0.5</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预期性</w:t>
            </w:r>
          </w:p>
        </w:tc>
      </w:tr>
      <w:tr w:rsidR="001328A6">
        <w:trPr>
          <w:trHeight w:hRule="exact" w:val="510"/>
          <w:jc w:val="center"/>
        </w:trPr>
        <w:tc>
          <w:tcPr>
            <w:tcW w:w="64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240" w:lineRule="exact"/>
              <w:jc w:val="center"/>
              <w:textAlignment w:val="center"/>
              <w:rPr>
                <w:rFonts w:ascii="Times New Roman" w:eastAsia="宋体" w:hAnsi="Times New Roman" w:cs="Times New Roman"/>
                <w:bCs/>
                <w:color w:val="000000"/>
                <w:kern w:val="0"/>
                <w:sz w:val="18"/>
                <w:szCs w:val="18"/>
              </w:rPr>
            </w:pPr>
            <w:r>
              <w:rPr>
                <w:rFonts w:ascii="Times New Roman" w:eastAsia="宋体" w:hAnsi="Times New Roman" w:cs="Times New Roman"/>
                <w:bCs/>
                <w:color w:val="000000"/>
                <w:kern w:val="0"/>
                <w:sz w:val="18"/>
                <w:szCs w:val="18"/>
              </w:rPr>
              <w:t>民</w:t>
            </w:r>
            <w:r>
              <w:rPr>
                <w:rFonts w:ascii="Times New Roman" w:eastAsia="宋体" w:hAnsi="Times New Roman" w:cs="Times New Roman"/>
                <w:bCs/>
                <w:color w:val="000000"/>
                <w:kern w:val="0"/>
                <w:sz w:val="18"/>
                <w:szCs w:val="18"/>
              </w:rPr>
              <w:br/>
            </w:r>
            <w:r>
              <w:rPr>
                <w:rFonts w:ascii="Times New Roman" w:eastAsia="宋体" w:hAnsi="Times New Roman" w:cs="Times New Roman"/>
                <w:bCs/>
                <w:color w:val="000000"/>
                <w:kern w:val="0"/>
                <w:sz w:val="18"/>
                <w:szCs w:val="18"/>
              </w:rPr>
              <w:t>生</w:t>
            </w:r>
            <w:r>
              <w:rPr>
                <w:rFonts w:ascii="Times New Roman" w:eastAsia="宋体" w:hAnsi="Times New Roman" w:cs="Times New Roman"/>
                <w:bCs/>
                <w:color w:val="000000"/>
                <w:kern w:val="0"/>
                <w:sz w:val="18"/>
                <w:szCs w:val="18"/>
              </w:rPr>
              <w:br/>
            </w:r>
            <w:r>
              <w:rPr>
                <w:rFonts w:ascii="Times New Roman" w:eastAsia="宋体" w:hAnsi="Times New Roman" w:cs="Times New Roman"/>
                <w:bCs/>
                <w:color w:val="000000"/>
                <w:kern w:val="0"/>
                <w:sz w:val="18"/>
                <w:szCs w:val="18"/>
              </w:rPr>
              <w:t>福</w:t>
            </w:r>
            <w:r>
              <w:rPr>
                <w:rFonts w:ascii="Times New Roman" w:eastAsia="宋体" w:hAnsi="Times New Roman" w:cs="Times New Roman"/>
                <w:bCs/>
                <w:color w:val="000000"/>
                <w:kern w:val="0"/>
                <w:sz w:val="18"/>
                <w:szCs w:val="18"/>
              </w:rPr>
              <w:br/>
            </w:r>
            <w:r>
              <w:rPr>
                <w:rFonts w:ascii="Times New Roman" w:eastAsia="宋体" w:hAnsi="Times New Roman" w:cs="Times New Roman"/>
                <w:bCs/>
                <w:color w:val="000000"/>
                <w:kern w:val="0"/>
                <w:sz w:val="18"/>
                <w:szCs w:val="18"/>
              </w:rPr>
              <w:t>祉</w:t>
            </w:r>
          </w:p>
          <w:p w:rsidR="001328A6" w:rsidRDefault="001328A6">
            <w:pPr>
              <w:overflowPunct w:val="0"/>
              <w:spacing w:line="240" w:lineRule="exact"/>
              <w:jc w:val="center"/>
              <w:textAlignment w:val="center"/>
              <w:rPr>
                <w:rFonts w:ascii="Times New Roman" w:eastAsia="宋体" w:hAnsi="Times New Roman" w:cs="Times New Roman"/>
                <w:bCs/>
                <w:color w:val="000000"/>
                <w:sz w:val="18"/>
                <w:szCs w:val="18"/>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7</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居民人均可支配收入增长（</w:t>
            </w:r>
            <w:r>
              <w:rPr>
                <w:rFonts w:ascii="Times New Roman" w:eastAsia="宋体" w:hAnsi="Times New Roman" w:cs="Times New Roman"/>
                <w:bCs/>
                <w:color w:val="000000"/>
                <w:kern w:val="0"/>
                <w:sz w:val="18"/>
                <w:szCs w:val="18"/>
              </w:rPr>
              <w:t>%</w:t>
            </w:r>
            <w:r>
              <w:rPr>
                <w:rFonts w:ascii="Times New Roman" w:eastAsia="宋体" w:hAnsi="Times New Roman" w:cs="Times New Roman"/>
                <w:bCs/>
                <w:color w:val="000000"/>
                <w:kern w:val="0"/>
                <w:sz w:val="18"/>
                <w:szCs w:val="18"/>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1.7</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稳步增长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预期性</w:t>
            </w:r>
          </w:p>
        </w:tc>
      </w:tr>
      <w:tr w:rsidR="001328A6">
        <w:trPr>
          <w:trHeight w:hRule="exact" w:val="510"/>
          <w:jc w:val="center"/>
        </w:trPr>
        <w:tc>
          <w:tcPr>
            <w:tcW w:w="642" w:type="dxa"/>
            <w:vMerge/>
            <w:tcBorders>
              <w:left w:val="single" w:sz="4" w:space="0" w:color="000000"/>
              <w:right w:val="single" w:sz="4" w:space="0" w:color="000000"/>
            </w:tcBorders>
            <w:shd w:val="clear" w:color="auto" w:fill="auto"/>
            <w:tcMar>
              <w:top w:w="15" w:type="dxa"/>
              <w:left w:w="15" w:type="dxa"/>
              <w:right w:w="15" w:type="dxa"/>
            </w:tcMar>
            <w:vAlign w:val="center"/>
          </w:tcPr>
          <w:p w:rsidR="001328A6" w:rsidRDefault="001328A6">
            <w:pPr>
              <w:overflowPunct w:val="0"/>
              <w:spacing w:line="240" w:lineRule="exact"/>
              <w:jc w:val="center"/>
              <w:rPr>
                <w:rFonts w:ascii="Times New Roman" w:eastAsia="宋体" w:hAnsi="Times New Roman" w:cs="Times New Roman"/>
                <w:bCs/>
                <w:color w:val="000000"/>
                <w:sz w:val="18"/>
                <w:szCs w:val="18"/>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8</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城镇调查</w:t>
            </w:r>
            <w:r>
              <w:rPr>
                <w:rFonts w:ascii="Times New Roman" w:eastAsia="宋体" w:hAnsi="Times New Roman" w:cs="Times New Roman"/>
                <w:bCs/>
                <w:color w:val="000000"/>
                <w:kern w:val="0"/>
                <w:sz w:val="18"/>
                <w:szCs w:val="18"/>
              </w:rPr>
              <w:t>/</w:t>
            </w:r>
            <w:r>
              <w:rPr>
                <w:rFonts w:ascii="Times New Roman" w:eastAsia="宋体" w:hAnsi="Times New Roman" w:cs="Times New Roman"/>
                <w:bCs/>
                <w:color w:val="000000"/>
                <w:kern w:val="0"/>
                <w:sz w:val="18"/>
                <w:szCs w:val="18"/>
              </w:rPr>
              <w:t>登记失业率（</w:t>
            </w:r>
            <w:r>
              <w:rPr>
                <w:rFonts w:ascii="Times New Roman" w:eastAsia="宋体" w:hAnsi="Times New Roman" w:cs="Times New Roman"/>
                <w:bCs/>
                <w:color w:val="000000"/>
                <w:kern w:val="0"/>
                <w:sz w:val="18"/>
                <w:szCs w:val="18"/>
              </w:rPr>
              <w:t>%</w:t>
            </w:r>
            <w:r>
              <w:rPr>
                <w:rFonts w:ascii="Times New Roman" w:eastAsia="宋体" w:hAnsi="Times New Roman" w:cs="Times New Roman"/>
                <w:bCs/>
                <w:color w:val="000000"/>
                <w:kern w:val="0"/>
                <w:sz w:val="18"/>
                <w:szCs w:val="18"/>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kern w:val="0"/>
                <w:sz w:val="18"/>
                <w:szCs w:val="18"/>
              </w:rPr>
            </w:pPr>
            <w:r>
              <w:rPr>
                <w:rFonts w:ascii="Times New Roman" w:eastAsia="宋体" w:hAnsi="Times New Roman" w:cs="Times New Roman"/>
                <w:bCs/>
                <w:color w:val="000000"/>
                <w:kern w:val="0"/>
                <w:sz w:val="18"/>
                <w:szCs w:val="18"/>
              </w:rPr>
              <w:t>3.89</w:t>
            </w:r>
          </w:p>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（登记）</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完成自治区下达目标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预期性</w:t>
            </w:r>
          </w:p>
        </w:tc>
      </w:tr>
      <w:tr w:rsidR="001328A6">
        <w:trPr>
          <w:trHeight w:hRule="exact" w:val="510"/>
          <w:jc w:val="center"/>
        </w:trPr>
        <w:tc>
          <w:tcPr>
            <w:tcW w:w="642" w:type="dxa"/>
            <w:vMerge/>
            <w:tcBorders>
              <w:left w:val="single" w:sz="4" w:space="0" w:color="000000"/>
              <w:right w:val="single" w:sz="4" w:space="0" w:color="000000"/>
            </w:tcBorders>
            <w:shd w:val="clear" w:color="auto" w:fill="auto"/>
            <w:tcMar>
              <w:top w:w="15" w:type="dxa"/>
              <w:left w:w="15" w:type="dxa"/>
              <w:right w:w="15" w:type="dxa"/>
            </w:tcMar>
            <w:vAlign w:val="center"/>
          </w:tcPr>
          <w:p w:rsidR="001328A6" w:rsidRDefault="001328A6">
            <w:pPr>
              <w:overflowPunct w:val="0"/>
              <w:spacing w:line="240" w:lineRule="exact"/>
              <w:jc w:val="center"/>
              <w:rPr>
                <w:rFonts w:ascii="Times New Roman" w:eastAsia="宋体" w:hAnsi="Times New Roman" w:cs="Times New Roman"/>
                <w:bCs/>
                <w:color w:val="000000"/>
                <w:sz w:val="18"/>
                <w:szCs w:val="18"/>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9</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人均预期寿命</w:t>
            </w:r>
            <w:r>
              <w:rPr>
                <w:rFonts w:ascii="Times New Roman" w:eastAsia="宋体" w:hAnsi="Times New Roman" w:cs="Times New Roman" w:hint="eastAsia"/>
                <w:bCs/>
                <w:color w:val="000000"/>
                <w:kern w:val="0"/>
                <w:sz w:val="18"/>
                <w:szCs w:val="18"/>
              </w:rPr>
              <w:t>（预计）</w:t>
            </w:r>
            <w:r>
              <w:rPr>
                <w:rFonts w:ascii="Times New Roman" w:eastAsia="宋体" w:hAnsi="Times New Roman" w:cs="Times New Roman"/>
                <w:bCs/>
                <w:color w:val="000000"/>
                <w:kern w:val="0"/>
                <w:sz w:val="18"/>
                <w:szCs w:val="18"/>
              </w:rPr>
              <w:t>（岁）</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76.79</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77</w:t>
            </w:r>
            <w:r>
              <w:rPr>
                <w:rFonts w:ascii="Times New Roman" w:eastAsia="宋体" w:hAnsi="Times New Roman" w:cs="Times New Roman"/>
                <w:bCs/>
                <w:color w:val="000000"/>
                <w:kern w:val="0"/>
                <w:sz w:val="18"/>
                <w:szCs w:val="18"/>
              </w:rPr>
              <w:t>左右</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预期性</w:t>
            </w:r>
          </w:p>
        </w:tc>
      </w:tr>
      <w:tr w:rsidR="001328A6">
        <w:trPr>
          <w:trHeight w:hRule="exact" w:val="510"/>
          <w:jc w:val="center"/>
        </w:trPr>
        <w:tc>
          <w:tcPr>
            <w:tcW w:w="642" w:type="dxa"/>
            <w:vMerge/>
            <w:tcBorders>
              <w:left w:val="single" w:sz="4" w:space="0" w:color="000000"/>
              <w:right w:val="single" w:sz="4" w:space="0" w:color="000000"/>
            </w:tcBorders>
            <w:shd w:val="clear" w:color="auto" w:fill="auto"/>
            <w:tcMar>
              <w:top w:w="15" w:type="dxa"/>
              <w:left w:w="15" w:type="dxa"/>
              <w:right w:w="15" w:type="dxa"/>
            </w:tcMar>
            <w:vAlign w:val="center"/>
          </w:tcPr>
          <w:p w:rsidR="001328A6" w:rsidRDefault="001328A6">
            <w:pPr>
              <w:overflowPunct w:val="0"/>
              <w:spacing w:line="240" w:lineRule="exact"/>
              <w:jc w:val="center"/>
              <w:rPr>
                <w:rFonts w:ascii="Times New Roman" w:eastAsia="宋体" w:hAnsi="Times New Roman" w:cs="Times New Roman"/>
                <w:bCs/>
                <w:color w:val="000000"/>
                <w:sz w:val="18"/>
                <w:szCs w:val="18"/>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10</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每千人口拥有执业（助理）医师数（人）</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3.16</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3.6</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约束性</w:t>
            </w:r>
          </w:p>
        </w:tc>
      </w:tr>
      <w:tr w:rsidR="001328A6">
        <w:trPr>
          <w:trHeight w:hRule="exact" w:val="510"/>
          <w:jc w:val="center"/>
        </w:trPr>
        <w:tc>
          <w:tcPr>
            <w:tcW w:w="642" w:type="dxa"/>
            <w:vMerge/>
            <w:tcBorders>
              <w:left w:val="single" w:sz="4" w:space="0" w:color="000000"/>
              <w:right w:val="single" w:sz="4" w:space="0" w:color="000000"/>
            </w:tcBorders>
            <w:shd w:val="clear" w:color="auto" w:fill="auto"/>
            <w:tcMar>
              <w:top w:w="15" w:type="dxa"/>
              <w:left w:w="15" w:type="dxa"/>
              <w:right w:w="15" w:type="dxa"/>
            </w:tcMar>
            <w:vAlign w:val="center"/>
          </w:tcPr>
          <w:p w:rsidR="001328A6" w:rsidRDefault="001328A6">
            <w:pPr>
              <w:overflowPunct w:val="0"/>
              <w:spacing w:line="240" w:lineRule="exact"/>
              <w:jc w:val="center"/>
              <w:rPr>
                <w:rFonts w:ascii="Times New Roman" w:eastAsia="宋体" w:hAnsi="Times New Roman" w:cs="Times New Roman"/>
                <w:bCs/>
                <w:color w:val="000000"/>
                <w:sz w:val="18"/>
                <w:szCs w:val="18"/>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11</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劳动年龄人口平均受教育年限</w:t>
            </w:r>
            <w:r>
              <w:rPr>
                <w:rFonts w:ascii="Times New Roman" w:eastAsia="宋体" w:hAnsi="Times New Roman" w:cs="Times New Roman" w:hint="eastAsia"/>
                <w:bCs/>
                <w:color w:val="000000"/>
                <w:kern w:val="0"/>
                <w:sz w:val="18"/>
                <w:szCs w:val="18"/>
              </w:rPr>
              <w:t>（预计）</w:t>
            </w:r>
            <w:r>
              <w:rPr>
                <w:rFonts w:ascii="Times New Roman" w:eastAsia="宋体" w:hAnsi="Times New Roman" w:cs="Times New Roman"/>
                <w:bCs/>
                <w:color w:val="000000"/>
                <w:kern w:val="0"/>
                <w:sz w:val="18"/>
                <w:szCs w:val="18"/>
              </w:rPr>
              <w:t>（年）</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11.3</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12</w:t>
            </w:r>
            <w:r>
              <w:rPr>
                <w:rFonts w:ascii="Times New Roman" w:eastAsia="宋体" w:hAnsi="Times New Roman" w:cs="Times New Roman"/>
                <w:bCs/>
                <w:color w:val="000000"/>
                <w:kern w:val="0"/>
                <w:sz w:val="18"/>
                <w:szCs w:val="18"/>
              </w:rPr>
              <w:t>左右</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约束性</w:t>
            </w:r>
          </w:p>
        </w:tc>
      </w:tr>
      <w:tr w:rsidR="001328A6">
        <w:trPr>
          <w:trHeight w:hRule="exact" w:val="510"/>
          <w:jc w:val="center"/>
        </w:trPr>
        <w:tc>
          <w:tcPr>
            <w:tcW w:w="642" w:type="dxa"/>
            <w:vMerge/>
            <w:tcBorders>
              <w:left w:val="single" w:sz="4" w:space="0" w:color="000000"/>
              <w:right w:val="single" w:sz="4" w:space="0" w:color="000000"/>
            </w:tcBorders>
            <w:shd w:val="clear" w:color="auto" w:fill="auto"/>
            <w:tcMar>
              <w:top w:w="15" w:type="dxa"/>
              <w:left w:w="15" w:type="dxa"/>
              <w:right w:w="15" w:type="dxa"/>
            </w:tcMar>
            <w:vAlign w:val="center"/>
          </w:tcPr>
          <w:p w:rsidR="001328A6" w:rsidRDefault="001328A6">
            <w:pPr>
              <w:overflowPunct w:val="0"/>
              <w:spacing w:line="240" w:lineRule="exact"/>
              <w:jc w:val="center"/>
              <w:rPr>
                <w:rFonts w:ascii="Times New Roman" w:eastAsia="宋体" w:hAnsi="Times New Roman" w:cs="Times New Roman"/>
                <w:bCs/>
                <w:color w:val="000000"/>
                <w:sz w:val="18"/>
                <w:szCs w:val="18"/>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12</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基本养老保险参保率（</w:t>
            </w:r>
            <w:r>
              <w:rPr>
                <w:rFonts w:ascii="Times New Roman" w:eastAsia="宋体" w:hAnsi="Times New Roman" w:cs="Times New Roman"/>
                <w:bCs/>
                <w:color w:val="000000"/>
                <w:kern w:val="0"/>
                <w:sz w:val="18"/>
                <w:szCs w:val="18"/>
              </w:rPr>
              <w:t>%</w:t>
            </w:r>
            <w:r>
              <w:rPr>
                <w:rFonts w:ascii="Times New Roman" w:eastAsia="宋体" w:hAnsi="Times New Roman" w:cs="Times New Roman"/>
                <w:bCs/>
                <w:color w:val="000000"/>
                <w:kern w:val="0"/>
                <w:sz w:val="18"/>
                <w:szCs w:val="18"/>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84.2</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90</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预期性</w:t>
            </w:r>
          </w:p>
        </w:tc>
      </w:tr>
      <w:tr w:rsidR="001328A6">
        <w:trPr>
          <w:trHeight w:hRule="exact" w:val="510"/>
          <w:jc w:val="center"/>
        </w:trPr>
        <w:tc>
          <w:tcPr>
            <w:tcW w:w="642"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1328A6" w:rsidRDefault="001328A6">
            <w:pPr>
              <w:overflowPunct w:val="0"/>
              <w:spacing w:line="240" w:lineRule="exact"/>
              <w:jc w:val="center"/>
              <w:textAlignment w:val="center"/>
              <w:rPr>
                <w:rFonts w:ascii="Times New Roman" w:eastAsia="宋体" w:hAnsi="Times New Roman" w:cs="Times New Roman"/>
                <w:bCs/>
                <w:color w:val="000000"/>
                <w:sz w:val="18"/>
                <w:szCs w:val="18"/>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13</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每千人口拥有三岁以下婴幼儿托位数（个）</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0.8</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1.3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预期性</w:t>
            </w:r>
          </w:p>
        </w:tc>
      </w:tr>
      <w:tr w:rsidR="001328A6">
        <w:trPr>
          <w:trHeight w:hRule="exact" w:val="510"/>
          <w:jc w:val="center"/>
        </w:trPr>
        <w:tc>
          <w:tcPr>
            <w:tcW w:w="642" w:type="dxa"/>
            <w:vMerge w:val="restart"/>
            <w:tcBorders>
              <w:top w:val="single" w:sz="4" w:space="0" w:color="auto"/>
              <w:left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240" w:lineRule="exact"/>
              <w:jc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sz w:val="18"/>
                <w:szCs w:val="18"/>
              </w:rPr>
              <w:t>绿</w:t>
            </w:r>
          </w:p>
          <w:p w:rsidR="001328A6" w:rsidRDefault="007F3236">
            <w:pPr>
              <w:overflowPunct w:val="0"/>
              <w:spacing w:line="240" w:lineRule="exact"/>
              <w:jc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sz w:val="18"/>
                <w:szCs w:val="18"/>
              </w:rPr>
              <w:t>色</w:t>
            </w:r>
          </w:p>
          <w:p w:rsidR="001328A6" w:rsidRDefault="007F3236">
            <w:pPr>
              <w:overflowPunct w:val="0"/>
              <w:spacing w:line="240" w:lineRule="exact"/>
              <w:jc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sz w:val="18"/>
                <w:szCs w:val="18"/>
              </w:rPr>
              <w:t>生</w:t>
            </w:r>
          </w:p>
          <w:p w:rsidR="001328A6" w:rsidRDefault="007F3236">
            <w:pPr>
              <w:overflowPunct w:val="0"/>
              <w:spacing w:line="240" w:lineRule="exact"/>
              <w:jc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sz w:val="18"/>
                <w:szCs w:val="18"/>
              </w:rPr>
              <w:t>态</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14</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单位地区生产总值能源消耗降低（</w:t>
            </w:r>
            <w:r>
              <w:rPr>
                <w:rFonts w:ascii="Times New Roman" w:eastAsia="宋体" w:hAnsi="Times New Roman" w:cs="Times New Roman"/>
                <w:bCs/>
                <w:color w:val="000000"/>
                <w:kern w:val="0"/>
                <w:sz w:val="18"/>
                <w:szCs w:val="18"/>
              </w:rPr>
              <w:t>%</w:t>
            </w:r>
            <w:r>
              <w:rPr>
                <w:rFonts w:ascii="Times New Roman" w:eastAsia="宋体" w:hAnsi="Times New Roman" w:cs="Times New Roman"/>
                <w:bCs/>
                <w:color w:val="000000"/>
                <w:kern w:val="0"/>
                <w:sz w:val="18"/>
                <w:szCs w:val="18"/>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完成自治区下达目标</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约束性</w:t>
            </w:r>
          </w:p>
        </w:tc>
      </w:tr>
      <w:tr w:rsidR="001328A6">
        <w:trPr>
          <w:trHeight w:hRule="exact" w:val="510"/>
          <w:jc w:val="center"/>
        </w:trPr>
        <w:tc>
          <w:tcPr>
            <w:tcW w:w="642"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1328A6" w:rsidRDefault="001328A6">
            <w:pPr>
              <w:overflowPunct w:val="0"/>
              <w:spacing w:line="240" w:lineRule="exact"/>
              <w:jc w:val="center"/>
              <w:rPr>
                <w:rFonts w:ascii="Times New Roman" w:eastAsia="宋体" w:hAnsi="Times New Roman" w:cs="Times New Roman"/>
                <w:bCs/>
                <w:color w:val="000000"/>
                <w:sz w:val="18"/>
                <w:szCs w:val="18"/>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15</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单位地区生产总值二氧化碳排放降低（</w:t>
            </w:r>
            <w:r>
              <w:rPr>
                <w:rFonts w:ascii="Times New Roman" w:eastAsia="宋体" w:hAnsi="Times New Roman" w:cs="Times New Roman"/>
                <w:bCs/>
                <w:color w:val="000000"/>
                <w:kern w:val="0"/>
                <w:sz w:val="18"/>
                <w:szCs w:val="18"/>
              </w:rPr>
              <w:t>%</w:t>
            </w:r>
            <w:r>
              <w:rPr>
                <w:rFonts w:ascii="Times New Roman" w:eastAsia="宋体" w:hAnsi="Times New Roman" w:cs="Times New Roman"/>
                <w:bCs/>
                <w:color w:val="000000"/>
                <w:kern w:val="0"/>
                <w:sz w:val="18"/>
                <w:szCs w:val="18"/>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完成自治区下达目标</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约束性</w:t>
            </w:r>
          </w:p>
        </w:tc>
      </w:tr>
      <w:tr w:rsidR="001328A6">
        <w:trPr>
          <w:trHeight w:hRule="exact" w:val="510"/>
          <w:jc w:val="center"/>
        </w:trPr>
        <w:tc>
          <w:tcPr>
            <w:tcW w:w="642"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1328A6" w:rsidRDefault="001328A6">
            <w:pPr>
              <w:overflowPunct w:val="0"/>
              <w:spacing w:line="240" w:lineRule="exact"/>
              <w:jc w:val="center"/>
              <w:rPr>
                <w:rFonts w:ascii="Times New Roman" w:eastAsia="宋体" w:hAnsi="Times New Roman" w:cs="Times New Roman"/>
                <w:bCs/>
                <w:color w:val="000000"/>
                <w:sz w:val="18"/>
                <w:szCs w:val="18"/>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16</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中心城区空气质量优良天数比率（</w:t>
            </w:r>
            <w:r>
              <w:rPr>
                <w:rFonts w:ascii="Times New Roman" w:eastAsia="宋体" w:hAnsi="Times New Roman" w:cs="Times New Roman"/>
                <w:bCs/>
                <w:color w:val="000000"/>
                <w:kern w:val="0"/>
                <w:sz w:val="18"/>
                <w:szCs w:val="18"/>
              </w:rPr>
              <w:t>%</w:t>
            </w:r>
            <w:r>
              <w:rPr>
                <w:rFonts w:ascii="Times New Roman" w:eastAsia="宋体" w:hAnsi="Times New Roman" w:cs="Times New Roman"/>
                <w:bCs/>
                <w:color w:val="000000"/>
                <w:kern w:val="0"/>
                <w:sz w:val="18"/>
                <w:szCs w:val="18"/>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83.1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完成自治区下达目标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约束性</w:t>
            </w:r>
          </w:p>
        </w:tc>
      </w:tr>
      <w:tr w:rsidR="001328A6">
        <w:trPr>
          <w:trHeight w:hRule="exact" w:val="510"/>
          <w:jc w:val="center"/>
        </w:trPr>
        <w:tc>
          <w:tcPr>
            <w:tcW w:w="642"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1328A6" w:rsidRDefault="001328A6">
            <w:pPr>
              <w:overflowPunct w:val="0"/>
              <w:spacing w:line="240" w:lineRule="exact"/>
              <w:jc w:val="center"/>
              <w:rPr>
                <w:rFonts w:ascii="Times New Roman" w:eastAsia="宋体" w:hAnsi="Times New Roman" w:cs="Times New Roman"/>
                <w:bCs/>
                <w:color w:val="000000"/>
                <w:sz w:val="18"/>
                <w:szCs w:val="18"/>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17</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地表水达到或好于</w:t>
            </w:r>
            <w:r>
              <w:rPr>
                <w:rFonts w:ascii="Times New Roman" w:eastAsia="宋体" w:hAnsi="Times New Roman" w:cs="Times New Roman"/>
                <w:bCs/>
                <w:color w:val="000000"/>
                <w:kern w:val="0"/>
                <w:sz w:val="18"/>
                <w:szCs w:val="18"/>
              </w:rPr>
              <w:t>Ⅲ</w:t>
            </w:r>
            <w:r>
              <w:rPr>
                <w:rFonts w:ascii="Times New Roman" w:eastAsia="宋体" w:hAnsi="Times New Roman" w:cs="Times New Roman"/>
                <w:bCs/>
                <w:color w:val="000000"/>
                <w:kern w:val="0"/>
                <w:sz w:val="18"/>
                <w:szCs w:val="18"/>
              </w:rPr>
              <w:t>类水体比例（</w:t>
            </w:r>
            <w:r>
              <w:rPr>
                <w:rFonts w:ascii="Times New Roman" w:eastAsia="宋体" w:hAnsi="Times New Roman" w:cs="Times New Roman"/>
                <w:bCs/>
                <w:color w:val="000000"/>
                <w:kern w:val="0"/>
                <w:sz w:val="18"/>
                <w:szCs w:val="18"/>
              </w:rPr>
              <w:t>%</w:t>
            </w:r>
            <w:r>
              <w:rPr>
                <w:rFonts w:ascii="Times New Roman" w:eastAsia="宋体" w:hAnsi="Times New Roman" w:cs="Times New Roman"/>
                <w:bCs/>
                <w:color w:val="000000"/>
                <w:kern w:val="0"/>
                <w:sz w:val="18"/>
                <w:szCs w:val="18"/>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100</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完成自治区下达目标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约束性</w:t>
            </w:r>
          </w:p>
        </w:tc>
      </w:tr>
      <w:tr w:rsidR="001328A6">
        <w:trPr>
          <w:trHeight w:hRule="exact" w:val="510"/>
          <w:jc w:val="center"/>
        </w:trPr>
        <w:tc>
          <w:tcPr>
            <w:tcW w:w="642"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1328A6" w:rsidRDefault="001328A6">
            <w:pPr>
              <w:overflowPunct w:val="0"/>
              <w:spacing w:line="240" w:lineRule="exact"/>
              <w:jc w:val="center"/>
              <w:rPr>
                <w:rFonts w:ascii="Times New Roman" w:eastAsia="宋体" w:hAnsi="Times New Roman" w:cs="Times New Roman"/>
                <w:bCs/>
                <w:color w:val="000000"/>
                <w:sz w:val="18"/>
                <w:szCs w:val="18"/>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18</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森林覆盖率（</w:t>
            </w:r>
            <w:r>
              <w:rPr>
                <w:rFonts w:ascii="Times New Roman" w:eastAsia="宋体" w:hAnsi="Times New Roman" w:cs="Times New Roman"/>
                <w:bCs/>
                <w:color w:val="000000"/>
                <w:kern w:val="0"/>
                <w:sz w:val="18"/>
                <w:szCs w:val="18"/>
              </w:rPr>
              <w:t>%</w:t>
            </w:r>
            <w:r>
              <w:rPr>
                <w:rFonts w:ascii="Times New Roman" w:eastAsia="宋体" w:hAnsi="Times New Roman" w:cs="Times New Roman"/>
                <w:bCs/>
                <w:color w:val="000000"/>
                <w:kern w:val="0"/>
                <w:sz w:val="18"/>
                <w:szCs w:val="18"/>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9</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9.5</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约束性</w:t>
            </w:r>
          </w:p>
        </w:tc>
      </w:tr>
      <w:tr w:rsidR="001328A6">
        <w:trPr>
          <w:trHeight w:hRule="exact" w:val="510"/>
          <w:jc w:val="center"/>
        </w:trPr>
        <w:tc>
          <w:tcPr>
            <w:tcW w:w="642" w:type="dxa"/>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1328A6" w:rsidRDefault="007F3236">
            <w:pPr>
              <w:overflowPunct w:val="0"/>
              <w:spacing w:line="24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安</w:t>
            </w:r>
            <w:r>
              <w:rPr>
                <w:rFonts w:ascii="Times New Roman" w:eastAsia="宋体" w:hAnsi="Times New Roman" w:cs="Times New Roman"/>
                <w:bCs/>
                <w:color w:val="000000"/>
                <w:kern w:val="0"/>
                <w:sz w:val="18"/>
                <w:szCs w:val="18"/>
              </w:rPr>
              <w:br/>
            </w:r>
            <w:r>
              <w:rPr>
                <w:rFonts w:ascii="Times New Roman" w:eastAsia="宋体" w:hAnsi="Times New Roman" w:cs="Times New Roman"/>
                <w:bCs/>
                <w:color w:val="000000"/>
                <w:kern w:val="0"/>
                <w:sz w:val="18"/>
                <w:szCs w:val="18"/>
              </w:rPr>
              <w:t>全</w:t>
            </w:r>
            <w:r>
              <w:rPr>
                <w:rFonts w:ascii="Times New Roman" w:eastAsia="宋体" w:hAnsi="Times New Roman" w:cs="Times New Roman"/>
                <w:bCs/>
                <w:color w:val="000000"/>
                <w:kern w:val="0"/>
                <w:sz w:val="18"/>
                <w:szCs w:val="18"/>
              </w:rPr>
              <w:br/>
            </w:r>
            <w:r>
              <w:rPr>
                <w:rFonts w:ascii="Times New Roman" w:eastAsia="宋体" w:hAnsi="Times New Roman" w:cs="Times New Roman"/>
                <w:bCs/>
                <w:color w:val="000000"/>
                <w:kern w:val="0"/>
                <w:sz w:val="18"/>
                <w:szCs w:val="18"/>
              </w:rPr>
              <w:t>保</w:t>
            </w:r>
            <w:r>
              <w:rPr>
                <w:rFonts w:ascii="Times New Roman" w:eastAsia="宋体" w:hAnsi="Times New Roman" w:cs="Times New Roman"/>
                <w:bCs/>
                <w:color w:val="000000"/>
                <w:kern w:val="0"/>
                <w:sz w:val="18"/>
                <w:szCs w:val="18"/>
              </w:rPr>
              <w:br/>
            </w:r>
            <w:r>
              <w:rPr>
                <w:rFonts w:ascii="Times New Roman" w:eastAsia="宋体" w:hAnsi="Times New Roman" w:cs="Times New Roman"/>
                <w:bCs/>
                <w:color w:val="000000"/>
                <w:kern w:val="0"/>
                <w:sz w:val="18"/>
                <w:szCs w:val="18"/>
              </w:rPr>
              <w:t>障</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19</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粮食综合生产能力（亿斤）</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0.6</w:t>
            </w:r>
            <w:r>
              <w:rPr>
                <w:rFonts w:ascii="Times New Roman" w:eastAsia="宋体" w:hAnsi="Times New Roman" w:cs="Times New Roman" w:hint="eastAsia"/>
                <w:bCs/>
                <w:color w:val="000000"/>
                <w:kern w:val="0"/>
                <w:sz w:val="18"/>
                <w:szCs w:val="18"/>
              </w:rPr>
              <w:t>7</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完成自治区下达目标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约束性</w:t>
            </w:r>
          </w:p>
        </w:tc>
      </w:tr>
      <w:tr w:rsidR="001328A6">
        <w:trPr>
          <w:trHeight w:hRule="exact" w:val="533"/>
          <w:jc w:val="center"/>
        </w:trPr>
        <w:tc>
          <w:tcPr>
            <w:tcW w:w="642"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1328A6" w:rsidRDefault="001328A6">
            <w:pPr>
              <w:overflowPunct w:val="0"/>
              <w:spacing w:line="580" w:lineRule="exact"/>
              <w:jc w:val="center"/>
              <w:rPr>
                <w:rFonts w:ascii="Times New Roman" w:eastAsia="宋体" w:hAnsi="Times New Roman" w:cs="Times New Roman"/>
                <w:bCs/>
                <w:color w:val="000000"/>
                <w:sz w:val="18"/>
                <w:szCs w:val="18"/>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left"/>
              <w:textAlignment w:val="center"/>
              <w:rPr>
                <w:rFonts w:ascii="Times New Roman" w:eastAsia="宋体" w:hAnsi="Times New Roman" w:cs="Times New Roman"/>
                <w:bCs/>
                <w:color w:val="000000"/>
                <w:sz w:val="18"/>
                <w:szCs w:val="18"/>
              </w:rPr>
            </w:pPr>
            <w:r>
              <w:rPr>
                <w:rFonts w:ascii="Times New Roman" w:eastAsia="宋体" w:hAnsi="Times New Roman" w:cs="Times New Roman" w:hint="eastAsia"/>
                <w:bCs/>
                <w:color w:val="000000"/>
                <w:kern w:val="0"/>
                <w:sz w:val="18"/>
                <w:szCs w:val="18"/>
              </w:rPr>
              <w:t>（</w:t>
            </w:r>
            <w:r>
              <w:rPr>
                <w:rFonts w:ascii="Times New Roman" w:eastAsia="宋体" w:hAnsi="Times New Roman" w:cs="Times New Roman" w:hint="eastAsia"/>
                <w:bCs/>
                <w:color w:val="000000"/>
                <w:kern w:val="0"/>
                <w:sz w:val="18"/>
                <w:szCs w:val="18"/>
              </w:rPr>
              <w:t>20</w:t>
            </w:r>
            <w:r>
              <w:rPr>
                <w:rFonts w:ascii="Times New Roman" w:eastAsia="宋体" w:hAnsi="Times New Roman" w:cs="Times New Roman" w:hint="eastAsia"/>
                <w:bCs/>
                <w:color w:val="000000"/>
                <w:kern w:val="0"/>
                <w:sz w:val="18"/>
                <w:szCs w:val="18"/>
              </w:rPr>
              <w:t>）</w:t>
            </w:r>
            <w:r>
              <w:rPr>
                <w:rFonts w:ascii="Times New Roman" w:eastAsia="宋体" w:hAnsi="Times New Roman" w:cs="Times New Roman"/>
                <w:bCs/>
                <w:color w:val="000000"/>
                <w:kern w:val="0"/>
                <w:sz w:val="18"/>
                <w:szCs w:val="18"/>
              </w:rPr>
              <w:t>能源综合生产能力（万吨标煤）</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2571.7</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2580.4</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w:t>
            </w:r>
          </w:p>
        </w:tc>
        <w:tc>
          <w:tcPr>
            <w:tcW w:w="900" w:type="dxa"/>
            <w:tcBorders>
              <w:top w:val="single" w:sz="4" w:space="0" w:color="000000"/>
              <w:left w:val="single" w:sz="4" w:space="0" w:color="000000"/>
              <w:bottom w:val="single" w:sz="4" w:space="0" w:color="000000"/>
            </w:tcBorders>
            <w:shd w:val="clear" w:color="auto" w:fill="auto"/>
            <w:tcMar>
              <w:top w:w="15" w:type="dxa"/>
              <w:left w:w="15" w:type="dxa"/>
              <w:right w:w="15" w:type="dxa"/>
            </w:tcMar>
            <w:vAlign w:val="center"/>
          </w:tcPr>
          <w:p w:rsidR="001328A6" w:rsidRDefault="007F3236">
            <w:pPr>
              <w:overflowPunct w:val="0"/>
              <w:spacing w:line="580" w:lineRule="exact"/>
              <w:jc w:val="center"/>
              <w:textAlignment w:val="center"/>
              <w:rPr>
                <w:rFonts w:ascii="Times New Roman" w:eastAsia="宋体" w:hAnsi="Times New Roman" w:cs="Times New Roman"/>
                <w:bCs/>
                <w:color w:val="000000"/>
                <w:sz w:val="18"/>
                <w:szCs w:val="18"/>
              </w:rPr>
            </w:pPr>
            <w:r>
              <w:rPr>
                <w:rFonts w:ascii="Times New Roman" w:eastAsia="宋体" w:hAnsi="Times New Roman" w:cs="Times New Roman"/>
                <w:bCs/>
                <w:color w:val="000000"/>
                <w:kern w:val="0"/>
                <w:sz w:val="18"/>
                <w:szCs w:val="18"/>
              </w:rPr>
              <w:t>约束性</w:t>
            </w:r>
          </w:p>
        </w:tc>
      </w:tr>
      <w:tr w:rsidR="001328A6">
        <w:trPr>
          <w:trHeight w:hRule="exact" w:val="697"/>
          <w:jc w:val="center"/>
        </w:trPr>
        <w:tc>
          <w:tcPr>
            <w:tcW w:w="9255" w:type="dxa"/>
            <w:gridSpan w:val="6"/>
            <w:tcBorders>
              <w:top w:val="single" w:sz="4" w:space="0" w:color="000000"/>
            </w:tcBorders>
            <w:shd w:val="clear" w:color="auto" w:fill="auto"/>
            <w:noWrap/>
            <w:tcMar>
              <w:top w:w="15" w:type="dxa"/>
              <w:left w:w="15" w:type="dxa"/>
              <w:right w:w="15" w:type="dxa"/>
            </w:tcMar>
            <w:vAlign w:val="center"/>
          </w:tcPr>
          <w:p w:rsidR="001328A6" w:rsidRDefault="007F3236">
            <w:pPr>
              <w:overflowPunct w:val="0"/>
              <w:spacing w:line="300" w:lineRule="exact"/>
              <w:jc w:val="left"/>
              <w:textAlignment w:val="center"/>
              <w:rPr>
                <w:rFonts w:ascii="Times New Roman" w:eastAsia="宋体" w:hAnsi="Times New Roman" w:cs="Times New Roman"/>
                <w:bCs/>
                <w:color w:val="000000"/>
                <w:kern w:val="0"/>
                <w:sz w:val="18"/>
                <w:szCs w:val="18"/>
              </w:rPr>
            </w:pPr>
            <w:r>
              <w:rPr>
                <w:rFonts w:ascii="Times New Roman" w:eastAsia="宋体" w:hAnsi="Times New Roman" w:cs="Times New Roman"/>
                <w:bCs/>
                <w:color w:val="000000"/>
                <w:kern w:val="0"/>
                <w:sz w:val="18"/>
                <w:szCs w:val="18"/>
              </w:rPr>
              <w:t>注：</w:t>
            </w:r>
            <w:r>
              <w:rPr>
                <w:rFonts w:ascii="Times New Roman" w:eastAsia="宋体" w:hAnsi="Times New Roman" w:cs="Times New Roman"/>
                <w:bCs/>
                <w:color w:val="000000"/>
                <w:kern w:val="0"/>
                <w:sz w:val="18"/>
                <w:szCs w:val="18"/>
              </w:rPr>
              <w:t>①</w:t>
            </w:r>
            <w:r>
              <w:rPr>
                <w:rFonts w:ascii="Times New Roman" w:eastAsia="宋体" w:hAnsi="Times New Roman" w:cs="Times New Roman"/>
                <w:bCs/>
                <w:color w:val="000000"/>
                <w:kern w:val="0"/>
                <w:sz w:val="18"/>
                <w:szCs w:val="18"/>
              </w:rPr>
              <w:t>地区生产总值增长、全员劳动生产率增长按可比价计算。</w:t>
            </w:r>
            <w:r>
              <w:rPr>
                <w:rFonts w:ascii="Times New Roman" w:eastAsia="宋体" w:hAnsi="Times New Roman" w:cs="Times New Roman"/>
                <w:bCs/>
                <w:color w:val="000000"/>
                <w:kern w:val="0"/>
                <w:sz w:val="18"/>
                <w:szCs w:val="18"/>
              </w:rPr>
              <w:t>②</w:t>
            </w:r>
            <w:r>
              <w:rPr>
                <w:rFonts w:ascii="Times New Roman" w:eastAsia="宋体" w:hAnsi="Times New Roman" w:cs="Times New Roman"/>
                <w:bCs/>
                <w:color w:val="000000"/>
                <w:kern w:val="0"/>
                <w:sz w:val="18"/>
                <w:szCs w:val="18"/>
              </w:rPr>
              <w:t>能源综合生产能力指煤炭（不含采空区）、非化石能源生产能力之和。</w:t>
            </w:r>
          </w:p>
        </w:tc>
      </w:tr>
    </w:tbl>
    <w:p w:rsidR="001328A6" w:rsidRDefault="007F3236">
      <w:pPr>
        <w:overflowPunct w:val="0"/>
        <w:spacing w:line="580" w:lineRule="exact"/>
        <w:rPr>
          <w:rFonts w:ascii="Times New Roman" w:eastAsia="黑体" w:hAnsi="Times New Roman" w:cs="Times New Roman"/>
          <w:bCs/>
          <w:sz w:val="36"/>
          <w:szCs w:val="36"/>
        </w:rPr>
      </w:pPr>
      <w:r>
        <w:rPr>
          <w:rFonts w:ascii="Times New Roman" w:eastAsia="黑体" w:hAnsi="Times New Roman" w:cs="Times New Roman"/>
          <w:bCs/>
          <w:sz w:val="36"/>
          <w:szCs w:val="36"/>
        </w:rPr>
        <w:lastRenderedPageBreak/>
        <w:br w:type="page"/>
      </w:r>
    </w:p>
    <w:p w:rsidR="001328A6" w:rsidRDefault="007F3236">
      <w:pPr>
        <w:numPr>
          <w:ilvl w:val="0"/>
          <w:numId w:val="1"/>
        </w:numPr>
        <w:overflowPunct w:val="0"/>
        <w:spacing w:line="600" w:lineRule="exact"/>
        <w:jc w:val="center"/>
        <w:outlineLvl w:val="0"/>
        <w:rPr>
          <w:rFonts w:ascii="方正小标宋简体" w:eastAsia="方正小标宋简体" w:hAnsi="方正小标宋简体" w:cs="方正小标宋简体"/>
          <w:bCs/>
          <w:sz w:val="32"/>
          <w:szCs w:val="32"/>
        </w:rPr>
      </w:pPr>
      <w:bookmarkStart w:id="46" w:name="_Toc29526"/>
      <w:bookmarkStart w:id="47" w:name="_Toc31618"/>
      <w:r>
        <w:rPr>
          <w:rFonts w:ascii="方正小标宋简体" w:eastAsia="方正小标宋简体" w:hAnsi="方正小标宋简体" w:cs="方正小标宋简体" w:hint="eastAsia"/>
          <w:bCs/>
          <w:sz w:val="32"/>
          <w:szCs w:val="32"/>
        </w:rPr>
        <w:lastRenderedPageBreak/>
        <w:t>履行沿黄生态保护责任实现生态质量更高</w:t>
      </w:r>
      <w:bookmarkEnd w:id="46"/>
      <w:bookmarkEnd w:id="47"/>
    </w:p>
    <w:p w:rsidR="001328A6" w:rsidRDefault="001328A6">
      <w:pPr>
        <w:pStyle w:val="a0"/>
        <w:overflowPunct w:val="0"/>
        <w:spacing w:before="0" w:after="0" w:line="600" w:lineRule="exact"/>
        <w:outlineLvl w:val="9"/>
        <w:rPr>
          <w:rFonts w:ascii="Times New Roman" w:hAnsi="Times New Roman" w:cs="Times New Roman"/>
          <w:b w:val="0"/>
        </w:rPr>
      </w:pPr>
    </w:p>
    <w:p w:rsidR="001328A6" w:rsidRDefault="007F3236">
      <w:pPr>
        <w:overflowPunct w:val="0"/>
        <w:spacing w:line="610" w:lineRule="exact"/>
        <w:ind w:firstLineChars="200" w:firstLine="600"/>
        <w:rPr>
          <w:rFonts w:ascii="Times New Roman" w:eastAsia="仿宋" w:hAnsi="Times New Roman" w:cs="仿宋"/>
          <w:bCs/>
          <w:color w:val="000000" w:themeColor="text1"/>
          <w:sz w:val="30"/>
          <w:szCs w:val="30"/>
        </w:rPr>
      </w:pPr>
      <w:bookmarkStart w:id="48" w:name="_Toc55917202"/>
      <w:r>
        <w:rPr>
          <w:rFonts w:ascii="Times New Roman" w:eastAsia="仿宋" w:hAnsi="Times New Roman" w:cs="仿宋" w:hint="eastAsia"/>
          <w:bCs/>
          <w:sz w:val="30"/>
          <w:szCs w:val="30"/>
        </w:rPr>
        <w:t>深入贯彻落实习近平总书记“着力抓好乌海及周边地区等重点区域生态环境综合治理”的重要指示要求，</w:t>
      </w:r>
      <w:r>
        <w:rPr>
          <w:rFonts w:ascii="Times New Roman" w:eastAsia="仿宋" w:hAnsi="Times New Roman" w:cs="仿宋" w:hint="eastAsia"/>
          <w:bCs/>
          <w:color w:val="000000" w:themeColor="text1"/>
          <w:sz w:val="30"/>
          <w:szCs w:val="30"/>
        </w:rPr>
        <w:t>坚持绿水青山就是金山银山理念，</w:t>
      </w:r>
      <w:r>
        <w:rPr>
          <w:rFonts w:ascii="Times New Roman" w:eastAsia="仿宋" w:hAnsi="Times New Roman" w:cs="仿宋" w:hint="eastAsia"/>
          <w:bCs/>
          <w:sz w:val="30"/>
          <w:szCs w:val="30"/>
        </w:rPr>
        <w:t>聚焦建设我国北方重要生态安全屏障，把生态环境保护修复摆在压倒性位置，</w:t>
      </w:r>
      <w:r>
        <w:rPr>
          <w:rFonts w:ascii="Times New Roman" w:eastAsia="仿宋" w:hAnsi="Times New Roman" w:cs="仿宋" w:hint="eastAsia"/>
          <w:bCs/>
          <w:color w:val="000000" w:themeColor="text1"/>
          <w:sz w:val="30"/>
          <w:szCs w:val="30"/>
        </w:rPr>
        <w:t>将黄河流域生态保护、</w:t>
      </w:r>
      <w:r>
        <w:rPr>
          <w:rFonts w:ascii="Times New Roman" w:eastAsia="仿宋" w:hAnsi="Times New Roman" w:cs="仿宋" w:hint="eastAsia"/>
          <w:bCs/>
          <w:sz w:val="30"/>
          <w:szCs w:val="30"/>
        </w:rPr>
        <w:t>乌海及周边地区生态环境综合治理，作为乌海未来五年的首要政治任务，坚持以降碳为重点战略方向，推动减污降碳协同增效，促进经济社会发展全面绿色转型，实现生态环境质量改善由量变到质变。制定实施生态环境综合治理三年行动方案，实施生态保护修复、环境污染治理、资源节约集约等重大攻坚工程，坚持</w:t>
      </w:r>
      <w:r>
        <w:rPr>
          <w:rFonts w:ascii="Times New Roman" w:eastAsia="仿宋" w:hAnsi="Times New Roman" w:cs="仿宋" w:hint="eastAsia"/>
          <w:bCs/>
          <w:color w:val="000000" w:themeColor="text1"/>
          <w:sz w:val="30"/>
          <w:szCs w:val="30"/>
        </w:rPr>
        <w:t>源头治理、深度治理、久久为功，建设天蓝、地绿、水清的生态城市，让绿色成为普遍形态。</w:t>
      </w:r>
    </w:p>
    <w:p w:rsidR="001328A6" w:rsidRDefault="001328A6">
      <w:pPr>
        <w:pStyle w:val="a0"/>
        <w:overflowPunct w:val="0"/>
        <w:spacing w:before="0" w:after="0" w:line="610" w:lineRule="exact"/>
        <w:outlineLvl w:val="9"/>
        <w:rPr>
          <w:rFonts w:ascii="Times New Roman" w:hAnsi="Times New Roman" w:cs="Times New Roman"/>
          <w:b w:val="0"/>
        </w:rPr>
      </w:pPr>
    </w:p>
    <w:p w:rsidR="001328A6" w:rsidRDefault="007F3236">
      <w:pPr>
        <w:pBdr>
          <w:top w:val="none" w:sz="0" w:space="1" w:color="auto"/>
          <w:left w:val="none" w:sz="0" w:space="4" w:color="auto"/>
          <w:bottom w:val="none" w:sz="0" w:space="1" w:color="auto"/>
          <w:right w:val="none" w:sz="0" w:space="4" w:color="auto"/>
        </w:pBdr>
        <w:overflowPunct w:val="0"/>
        <w:spacing w:line="610" w:lineRule="exact"/>
        <w:jc w:val="center"/>
        <w:outlineLvl w:val="1"/>
        <w:rPr>
          <w:rFonts w:ascii="Times New Roman" w:eastAsia="黑体" w:hAnsi="Times New Roman" w:cs="黑体"/>
          <w:bCs/>
          <w:sz w:val="32"/>
          <w:szCs w:val="36"/>
        </w:rPr>
      </w:pPr>
      <w:bookmarkStart w:id="49" w:name="_Toc55917206"/>
      <w:bookmarkStart w:id="50" w:name="_Toc16592"/>
      <w:bookmarkStart w:id="51" w:name="_Toc32707"/>
      <w:r>
        <w:rPr>
          <w:rFonts w:ascii="Times New Roman" w:eastAsia="黑体" w:hAnsi="Times New Roman" w:cs="黑体" w:hint="eastAsia"/>
          <w:bCs/>
          <w:sz w:val="32"/>
          <w:szCs w:val="36"/>
        </w:rPr>
        <w:t>第四章防控治理并举实现生态环境质量</w:t>
      </w:r>
      <w:bookmarkEnd w:id="49"/>
      <w:r>
        <w:rPr>
          <w:rFonts w:ascii="Times New Roman" w:eastAsia="黑体" w:hAnsi="Times New Roman" w:cs="黑体" w:hint="eastAsia"/>
          <w:bCs/>
          <w:sz w:val="32"/>
          <w:szCs w:val="36"/>
        </w:rPr>
        <w:t>持续向好</w:t>
      </w:r>
      <w:bookmarkEnd w:id="50"/>
      <w:bookmarkEnd w:id="51"/>
    </w:p>
    <w:p w:rsidR="001328A6" w:rsidRDefault="001328A6">
      <w:pPr>
        <w:overflowPunct w:val="0"/>
        <w:spacing w:line="610" w:lineRule="exact"/>
        <w:rPr>
          <w:rFonts w:ascii="Times New Roman" w:hAnsi="Times New Roman" w:cs="Times New Roman"/>
          <w:bCs/>
        </w:rPr>
      </w:pPr>
    </w:p>
    <w:p w:rsidR="001328A6" w:rsidRDefault="007F323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坚持源头治理、全过程监管和高效治理相结合，提升生态环境综合治理水平，以突出环境问题为主攻方向，强化多污染物协同控制和区域协同治理，深入打好污染防治攻坚战，切实让环境质量日益向好。</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楷体_GB2312" w:hAnsi="Times New Roman" w:cs="Times New Roman"/>
          <w:bCs/>
          <w:sz w:val="32"/>
          <w:szCs w:val="32"/>
        </w:rPr>
      </w:pPr>
      <w:bookmarkStart w:id="52" w:name="_Toc2035"/>
      <w:bookmarkStart w:id="53" w:name="_Toc55917207"/>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_GB2312" w:hAnsi="Times New Roman" w:cs="Times New Roman"/>
          <w:bCs/>
          <w:sz w:val="32"/>
          <w:szCs w:val="32"/>
        </w:rPr>
      </w:pPr>
      <w:bookmarkStart w:id="54" w:name="_Toc18742"/>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_GB2312" w:hAnsi="Times New Roman" w:cs="Times New Roman"/>
          <w:bCs/>
          <w:sz w:val="32"/>
          <w:szCs w:val="32"/>
        </w:rPr>
      </w:pPr>
      <w:r>
        <w:rPr>
          <w:rFonts w:ascii="Times New Roman" w:eastAsia="楷体_GB2312" w:hAnsi="Times New Roman" w:cs="Times New Roman"/>
          <w:bCs/>
          <w:sz w:val="32"/>
          <w:szCs w:val="32"/>
        </w:rPr>
        <w:lastRenderedPageBreak/>
        <w:t>第一节</w:t>
      </w:r>
      <w:r>
        <w:rPr>
          <w:rFonts w:ascii="Times New Roman" w:eastAsia="楷体_GB2312" w:hAnsi="Times New Roman" w:cs="Times New Roman"/>
          <w:bCs/>
          <w:sz w:val="32"/>
          <w:szCs w:val="32"/>
        </w:rPr>
        <w:t xml:space="preserve"> </w:t>
      </w:r>
      <w:r>
        <w:rPr>
          <w:rFonts w:ascii="Times New Roman" w:eastAsia="楷体_GB2312" w:hAnsi="Times New Roman" w:cs="Times New Roman"/>
          <w:bCs/>
          <w:sz w:val="32"/>
          <w:szCs w:val="32"/>
        </w:rPr>
        <w:t>深入推进大气污染治理</w:t>
      </w:r>
      <w:bookmarkEnd w:id="52"/>
      <w:bookmarkEnd w:id="53"/>
      <w:bookmarkEnd w:id="54"/>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强力推进矿区环境综合整治。组织实施矿区生态环境综合治理，全面推进矿产资源整合，实施区域化、系统化治理，有效控制自然资源利用总量和开发强度。强化矿区环境扬尘整治，严格企业在开采、储存、运输、加工等作业环节的抑尘措施，有效消除矿区道路扬尘污染。采取矿权重组的方式整合乌海及周边地区矿产资源，淘汰和关闭布局不合理和对生态环境破坏严重的矿山。全力推进排土场矸石自燃和煤矿采空区煤层自燃治理，加强日常火点巡查。探索一体化推进库区泥沙治理与矿山生态修复的科学路径。新建矿山必须达到绿色矿山标准，生产矿山限期达到绿色矿山建设标准。到</w:t>
      </w:r>
      <w:r>
        <w:rPr>
          <w:rFonts w:ascii="Times New Roman" w:eastAsia="仿宋" w:hAnsi="Times New Roman" w:cs="仿宋" w:hint="eastAsia"/>
          <w:bCs/>
          <w:color w:val="000000" w:themeColor="text1"/>
          <w:sz w:val="30"/>
          <w:szCs w:val="30"/>
        </w:rPr>
        <w:t>2025</w:t>
      </w:r>
      <w:r>
        <w:rPr>
          <w:rFonts w:ascii="Times New Roman" w:eastAsia="仿宋" w:hAnsi="Times New Roman" w:cs="仿宋" w:hint="eastAsia"/>
          <w:bCs/>
          <w:color w:val="000000" w:themeColor="text1"/>
          <w:sz w:val="30"/>
          <w:szCs w:val="30"/>
        </w:rPr>
        <w:t>年，全部矿山达到国家或自治区绿色矿山建设标准，不符合绿色矿山建设标准的矿山企业依法逐步退出市场。</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深入开展工业污染治理。全面推进排污许可管理，强化排放标准刚性约束，确保重点污染源全面达标排放。突出抓好</w:t>
      </w:r>
      <w:r>
        <w:rPr>
          <w:rFonts w:ascii="Times New Roman" w:eastAsia="仿宋" w:hAnsi="Times New Roman" w:cs="仿宋" w:hint="eastAsia"/>
          <w:bCs/>
          <w:color w:val="000000" w:themeColor="text1"/>
          <w:sz w:val="30"/>
          <w:szCs w:val="30"/>
        </w:rPr>
        <w:t>PM</w:t>
      </w:r>
      <w:r>
        <w:rPr>
          <w:rFonts w:ascii="Times New Roman" w:eastAsia="仿宋" w:hAnsi="Times New Roman" w:cs="仿宋" w:hint="eastAsia"/>
          <w:bCs/>
          <w:color w:val="000000" w:themeColor="text1"/>
          <w:sz w:val="30"/>
          <w:szCs w:val="30"/>
          <w:vertAlign w:val="subscript"/>
        </w:rPr>
        <w:t>10</w:t>
      </w:r>
      <w:r>
        <w:rPr>
          <w:rFonts w:ascii="Times New Roman" w:eastAsia="仿宋" w:hAnsi="Times New Roman" w:cs="仿宋" w:hint="eastAsia"/>
          <w:bCs/>
          <w:color w:val="000000" w:themeColor="text1"/>
          <w:sz w:val="30"/>
          <w:szCs w:val="30"/>
        </w:rPr>
        <w:t>和</w:t>
      </w:r>
      <w:r>
        <w:rPr>
          <w:rFonts w:ascii="Times New Roman" w:eastAsia="仿宋" w:hAnsi="Times New Roman" w:cs="仿宋" w:hint="eastAsia"/>
          <w:bCs/>
          <w:color w:val="000000" w:themeColor="text1"/>
          <w:sz w:val="30"/>
          <w:szCs w:val="30"/>
        </w:rPr>
        <w:t>O</w:t>
      </w:r>
      <w:r>
        <w:rPr>
          <w:rFonts w:ascii="Times New Roman" w:eastAsia="仿宋" w:hAnsi="Times New Roman" w:cs="仿宋" w:hint="eastAsia"/>
          <w:bCs/>
          <w:color w:val="000000" w:themeColor="text1"/>
          <w:sz w:val="30"/>
          <w:szCs w:val="30"/>
          <w:vertAlign w:val="subscript"/>
        </w:rPr>
        <w:t>3</w:t>
      </w:r>
      <w:r>
        <w:rPr>
          <w:rFonts w:ascii="Times New Roman" w:eastAsia="仿宋" w:hAnsi="Times New Roman" w:cs="仿宋" w:hint="eastAsia"/>
          <w:bCs/>
          <w:color w:val="000000" w:themeColor="text1"/>
          <w:sz w:val="30"/>
          <w:szCs w:val="30"/>
        </w:rPr>
        <w:t>污染防治，推进非电行业超低排放改造，实施工业炉窑深度治理，开展散煤、挥发性有机物全过程综合治理，深化无组织排放源深度治理，加大物料堆场扬尘污染治理力度。</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深度推进面源污染治理。持续推进清洁取暖替代、棚户区改造和既有建筑节能改造，着力推进建成区平房集中供热工程。强化移动源污染防治，全面落实柴油货车整治要求，做好油品质量检测和机动车尾气监测检测工作，研究推动现有柴油重卡逐步退出使用。</w:t>
      </w:r>
      <w:r>
        <w:rPr>
          <w:rFonts w:ascii="Times New Roman" w:eastAsia="仿宋" w:hAnsi="Times New Roman" w:cs="仿宋" w:hint="eastAsia"/>
          <w:bCs/>
          <w:color w:val="000000" w:themeColor="text1"/>
          <w:sz w:val="30"/>
          <w:szCs w:val="30"/>
        </w:rPr>
        <w:lastRenderedPageBreak/>
        <w:t>全面加强扬尘综合治理，针对道路扬尘、库区扬尘、建筑施工扬尘等重点任务，开展系列专项治理。到</w:t>
      </w:r>
      <w:r>
        <w:rPr>
          <w:rFonts w:ascii="Times New Roman" w:eastAsia="仿宋" w:hAnsi="Times New Roman" w:cs="仿宋" w:hint="eastAsia"/>
          <w:bCs/>
          <w:color w:val="000000" w:themeColor="text1"/>
          <w:sz w:val="30"/>
          <w:szCs w:val="30"/>
        </w:rPr>
        <w:t>2025</w:t>
      </w:r>
      <w:r>
        <w:rPr>
          <w:rFonts w:ascii="Times New Roman" w:eastAsia="仿宋" w:hAnsi="Times New Roman" w:cs="仿宋" w:hint="eastAsia"/>
          <w:bCs/>
          <w:color w:val="000000" w:themeColor="text1"/>
          <w:sz w:val="30"/>
          <w:szCs w:val="30"/>
        </w:rPr>
        <w:t>年，全市建成区、工业园区和主要交通干线机械化清扫率达到</w:t>
      </w:r>
      <w:r>
        <w:rPr>
          <w:rFonts w:ascii="Times New Roman" w:eastAsia="仿宋" w:hAnsi="Times New Roman" w:cs="仿宋" w:hint="eastAsia"/>
          <w:bCs/>
          <w:color w:val="000000" w:themeColor="text1"/>
          <w:sz w:val="30"/>
          <w:szCs w:val="30"/>
        </w:rPr>
        <w:t>86%</w:t>
      </w:r>
      <w:r>
        <w:rPr>
          <w:rFonts w:ascii="Times New Roman" w:eastAsia="仿宋" w:hAnsi="Times New Roman" w:cs="仿宋" w:hint="eastAsia"/>
          <w:bCs/>
          <w:color w:val="000000" w:themeColor="text1"/>
          <w:sz w:val="30"/>
          <w:szCs w:val="30"/>
        </w:rPr>
        <w:t>以上，施工工地做到周边围档、物料堆放覆盖等“六个百分百”。调整优化运输能源结构，积极推进大宗货物“公转铁”、管道智能运输和厢式运输，推广新能源汽车使用。</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加</w:t>
      </w:r>
      <w:r>
        <w:rPr>
          <w:rFonts w:ascii="Times New Roman" w:eastAsia="仿宋" w:hAnsi="Times New Roman" w:cs="仿宋" w:hint="eastAsia"/>
          <w:bCs/>
          <w:color w:val="000000" w:themeColor="text1"/>
          <w:spacing w:val="-6"/>
          <w:sz w:val="30"/>
          <w:szCs w:val="30"/>
        </w:rPr>
        <w:t>强大气污染联防联控。推进乌海及周边地区大气污染联防联控联治协同机制建设，进一步强化蒙宁交界地区大气污染联防联控联治精细化管控，建设区域大气污染热点网格智能监管项目，推进环境信息和数据共</w:t>
      </w:r>
      <w:r>
        <w:rPr>
          <w:rFonts w:ascii="Times New Roman" w:eastAsia="仿宋" w:hAnsi="Times New Roman" w:cs="仿宋" w:hint="eastAsia"/>
          <w:bCs/>
          <w:color w:val="000000" w:themeColor="text1"/>
          <w:sz w:val="30"/>
          <w:szCs w:val="30"/>
        </w:rPr>
        <w:t>享共用，实现精准治污、科学治污、依法治污。</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55" w:name="_Toc55917208"/>
      <w:bookmarkStart w:id="56" w:name="_Toc24261"/>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57" w:name="_Toc4908"/>
      <w:r>
        <w:rPr>
          <w:rFonts w:ascii="Times New Roman" w:eastAsia="楷体" w:hAnsi="Times New Roman" w:cs="楷体" w:hint="eastAsia"/>
          <w:bCs/>
          <w:sz w:val="32"/>
          <w:szCs w:val="32"/>
        </w:rPr>
        <w:t>第二节</w:t>
      </w:r>
      <w:bookmarkEnd w:id="55"/>
      <w:r>
        <w:rPr>
          <w:rFonts w:ascii="Times New Roman" w:eastAsia="楷体" w:hAnsi="Times New Roman" w:cs="楷体" w:hint="eastAsia"/>
          <w:bCs/>
          <w:sz w:val="32"/>
          <w:szCs w:val="32"/>
        </w:rPr>
        <w:t>大力加强水生态环境保护</w:t>
      </w:r>
      <w:bookmarkEnd w:id="56"/>
      <w:bookmarkEnd w:id="57"/>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sz w:val="30"/>
          <w:szCs w:val="30"/>
        </w:rPr>
        <w:t>开展水环境治理。</w:t>
      </w:r>
      <w:r>
        <w:rPr>
          <w:rFonts w:ascii="Times New Roman" w:eastAsia="仿宋" w:hAnsi="Times New Roman" w:cs="仿宋" w:hint="eastAsia"/>
          <w:bCs/>
          <w:color w:val="000000" w:themeColor="text1"/>
          <w:sz w:val="30"/>
          <w:szCs w:val="30"/>
        </w:rPr>
        <w:t>以污染减排、生态扩容为抓手，以改善水环境质量为核心，开展水资源合理利用和水生态修复，兼顾生态功能改善和地下水保护。全面推进“美丽河湖”建设，严格落实“河长制”，持续推进河湖“清四乱”常态化、规范化。严格管控黄河流域乌海段环境风险，开展入河排污口清理整治和规范化建设，确保水环境质量保持稳定。</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FF0000"/>
          <w:sz w:val="30"/>
          <w:szCs w:val="30"/>
        </w:rPr>
      </w:pPr>
      <w:r>
        <w:rPr>
          <w:rFonts w:ascii="Times New Roman" w:eastAsia="仿宋" w:hAnsi="Times New Roman" w:cs="仿宋" w:hint="eastAsia"/>
          <w:bCs/>
          <w:sz w:val="30"/>
          <w:szCs w:val="30"/>
        </w:rPr>
        <w:t>强化水污染防治。</w:t>
      </w:r>
      <w:r>
        <w:rPr>
          <w:rFonts w:ascii="Times New Roman" w:eastAsia="仿宋" w:hAnsi="Times New Roman" w:cs="仿宋" w:hint="eastAsia"/>
          <w:bCs/>
          <w:color w:val="000000" w:themeColor="text1"/>
          <w:sz w:val="30"/>
          <w:szCs w:val="30"/>
        </w:rPr>
        <w:t>加强城镇及工业污染防治，推进污水处理厂提标改造和污水管网建设，抓好运行监管，确保达到排放标准或再生利用要求。全面推进农区环境整治，科学划定畜禽禁养区，配套</w:t>
      </w:r>
      <w:r>
        <w:rPr>
          <w:rFonts w:ascii="Times New Roman" w:eastAsia="仿宋" w:hAnsi="Times New Roman" w:cs="仿宋" w:hint="eastAsia"/>
          <w:bCs/>
          <w:color w:val="000000" w:themeColor="text1"/>
          <w:sz w:val="30"/>
          <w:szCs w:val="30"/>
        </w:rPr>
        <w:lastRenderedPageBreak/>
        <w:t>建设粪便污水贮存、处理、利用设施，推进畜禽粪污资源化利用，严防出现黑臭水体。抓好饮用水源地保护，持续开展水源地保护区规范化整治。工业企业布局要符合国家和自治区黄河流域水生态保护要求。</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58" w:name="_Toc25810"/>
      <w:bookmarkStart w:id="59" w:name="_Toc55917209"/>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60" w:name="_Toc1932"/>
      <w:r>
        <w:rPr>
          <w:rFonts w:ascii="Times New Roman" w:eastAsia="楷体" w:hAnsi="Times New Roman" w:cs="楷体" w:hint="eastAsia"/>
          <w:bCs/>
          <w:sz w:val="32"/>
          <w:szCs w:val="32"/>
        </w:rPr>
        <w:t>第三节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加强土壤污染治理与修复</w:t>
      </w:r>
      <w:bookmarkEnd w:id="58"/>
      <w:bookmarkEnd w:id="59"/>
      <w:bookmarkEnd w:id="60"/>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推进工业固体废弃物污染治理。坚持固体废弃物源头减量、末端资源化利用和无害化处置，定期对污水集中处理设施、固体废弃物处置设施周边土壤进行监测。积极推进历史遗留大宗固体废弃物综合整治，解决煤矸石堆场污染等突出环境问题。</w:t>
      </w:r>
      <w:r>
        <w:rPr>
          <w:rFonts w:ascii="Times New Roman" w:eastAsia="仿宋" w:hAnsi="Times New Roman" w:cs="仿宋" w:hint="eastAsia"/>
          <w:bCs/>
          <w:sz w:val="30"/>
          <w:szCs w:val="30"/>
        </w:rPr>
        <w:t>强化工业固体废</w:t>
      </w:r>
      <w:r>
        <w:rPr>
          <w:rFonts w:ascii="Times New Roman" w:eastAsia="仿宋" w:hAnsi="Times New Roman" w:cs="仿宋" w:hint="eastAsia"/>
          <w:bCs/>
          <w:color w:val="000000" w:themeColor="text1"/>
          <w:sz w:val="30"/>
          <w:szCs w:val="30"/>
        </w:rPr>
        <w:t>弃</w:t>
      </w:r>
      <w:r>
        <w:rPr>
          <w:rFonts w:ascii="Times New Roman" w:eastAsia="仿宋" w:hAnsi="Times New Roman" w:cs="仿宋" w:hint="eastAsia"/>
          <w:bCs/>
          <w:sz w:val="30"/>
          <w:szCs w:val="30"/>
        </w:rPr>
        <w:t>物规范化管理，</w:t>
      </w:r>
      <w:r>
        <w:rPr>
          <w:rFonts w:ascii="Times New Roman" w:eastAsia="仿宋" w:hAnsi="Times New Roman" w:cs="仿宋" w:hint="eastAsia"/>
          <w:bCs/>
          <w:color w:val="000000" w:themeColor="text1"/>
          <w:sz w:val="30"/>
          <w:szCs w:val="30"/>
        </w:rPr>
        <w:t>大力提升固体废弃物污染防治和资源化利用水平。</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color w:val="000000" w:themeColor="text1"/>
          <w:sz w:val="30"/>
          <w:szCs w:val="30"/>
        </w:rPr>
        <w:t>大力加强土壤污染防控。深入开展控肥、控药、控水、控膜行动和国土绿化行动，推动农业面源、重金属、塑料污染等治理，推进化肥农药减量化，加强危险废物、医疗废物收集处置。</w:t>
      </w:r>
      <w:r>
        <w:rPr>
          <w:rFonts w:ascii="Times New Roman" w:eastAsia="仿宋" w:hAnsi="Times New Roman" w:cs="仿宋" w:hint="eastAsia"/>
          <w:bCs/>
          <w:sz w:val="30"/>
          <w:szCs w:val="30"/>
        </w:rPr>
        <w:t>开展耕地土壤环境质量类别划分，加强耕地土壤环境监测，优先保护未污染和轻微污染耕地，控制农业生产活动污染土壤。推进建设用地土壤污染风险管控，依法开展土壤污染状况调查，合理规划土地用途，严格用地准入，加强在产企业土壤污染防治。</w:t>
      </w:r>
    </w:p>
    <w:p w:rsidR="001328A6" w:rsidRDefault="007F3236">
      <w:pPr>
        <w:rPr>
          <w:rFonts w:ascii="Times New Roman" w:eastAsia="仿宋" w:hAnsi="Times New Roman" w:cs="仿宋"/>
          <w:bCs/>
          <w:sz w:val="30"/>
          <w:szCs w:val="30"/>
        </w:rPr>
      </w:pPr>
      <w:r>
        <w:rPr>
          <w:rFonts w:ascii="Times New Roman" w:eastAsia="仿宋" w:hAnsi="Times New Roman" w:cs="仿宋" w:hint="eastAsia"/>
          <w:bCs/>
          <w:sz w:val="30"/>
          <w:szCs w:val="30"/>
        </w:rPr>
        <w:br w:type="page"/>
      </w: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61" w:name="_Toc17813"/>
      <w:bookmarkStart w:id="62" w:name="_Toc9238"/>
      <w:r>
        <w:rPr>
          <w:rFonts w:ascii="Times New Roman" w:eastAsia="楷体" w:hAnsi="Times New Roman" w:cs="楷体" w:hint="eastAsia"/>
          <w:bCs/>
          <w:sz w:val="32"/>
          <w:szCs w:val="32"/>
        </w:rPr>
        <w:lastRenderedPageBreak/>
        <w:t>第四节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积极应对气候变化</w:t>
      </w:r>
      <w:bookmarkEnd w:id="61"/>
      <w:bookmarkEnd w:id="62"/>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z w:val="30"/>
          <w:szCs w:val="30"/>
        </w:rPr>
        <w:t>开展碳排放达峰研究。明确重点行业的达峰目标、路线图、行动方案和配套措施，确保</w:t>
      </w:r>
      <w:r>
        <w:rPr>
          <w:rFonts w:ascii="Times New Roman" w:eastAsia="仿宋" w:hAnsi="Times New Roman" w:cs="仿宋" w:hint="eastAsia"/>
          <w:bCs/>
          <w:sz w:val="30"/>
          <w:szCs w:val="30"/>
        </w:rPr>
        <w:t>2030</w:t>
      </w:r>
      <w:r>
        <w:rPr>
          <w:rFonts w:ascii="Times New Roman" w:eastAsia="仿宋" w:hAnsi="Times New Roman" w:cs="仿宋" w:hint="eastAsia"/>
          <w:bCs/>
          <w:sz w:val="30"/>
          <w:szCs w:val="30"/>
        </w:rPr>
        <w:t>年前全面达峰。研究制定二氧化碳排放总量控制制度和方案，单位地区生产总值二氧化碳排放降幅达到自治区下达目标，逐步实现由碳排放强度控制向总量和强度“双控”过渡。</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hAnsi="Times New Roman"/>
        </w:rPr>
      </w:pPr>
      <w:r>
        <w:rPr>
          <w:rFonts w:ascii="Times New Roman" w:eastAsia="仿宋" w:hAnsi="Times New Roman" w:cs="仿宋" w:hint="eastAsia"/>
          <w:bCs/>
          <w:sz w:val="30"/>
          <w:szCs w:val="30"/>
        </w:rPr>
        <w:t>加强应对气候变化能力建设。加快推动能源结构低碳转型，大力发展可再生能源，控制化石能源消费，推进碳市场建设。深化重点领域低碳行动，推进低碳工业体系、低碳交通、低碳建筑发展。开展零碳示范试点地区建设，推行低碳生产生活方式，营造全社会共同推动、共同参与应对气候变化的良好氛围。</w:t>
      </w:r>
    </w:p>
    <w:p w:rsidR="001328A6" w:rsidRDefault="007F3236">
      <w:pPr>
        <w:pBdr>
          <w:top w:val="none" w:sz="0" w:space="1" w:color="auto"/>
          <w:left w:val="none" w:sz="0" w:space="4" w:color="auto"/>
          <w:bottom w:val="none" w:sz="0" w:space="1" w:color="auto"/>
          <w:right w:val="none" w:sz="0" w:space="4" w:color="auto"/>
        </w:pBdr>
        <w:overflowPunct w:val="0"/>
        <w:spacing w:line="240" w:lineRule="exact"/>
        <w:ind w:firstLineChars="200" w:firstLine="220"/>
        <w:rPr>
          <w:rFonts w:ascii="Times New Roman" w:hAnsi="Times New Roman" w:cs="Times New Roman"/>
          <w:bCs/>
          <w:color w:val="333333"/>
          <w:sz w:val="11"/>
          <w:szCs w:val="11"/>
          <w:shd w:val="clear" w:color="auto" w:fill="FFFFFF"/>
        </w:rPr>
      </w:pPr>
      <w:r>
        <w:rPr>
          <w:rFonts w:ascii="Times New Roman" w:hAnsi="Times New Roman" w:cs="Times New Roman"/>
          <w:bCs/>
          <w:color w:val="333333"/>
          <w:sz w:val="11"/>
          <w:szCs w:val="11"/>
          <w:shd w:val="clear" w:color="auto" w:fill="FFFFFF"/>
        </w:rPr>
        <w:t xml:space="preserve">　</w:t>
      </w:r>
      <w:r>
        <w:rPr>
          <w:rFonts w:ascii="Times New Roman" w:hAnsi="Times New Roman" w:cs="Times New Roman"/>
          <w:bCs/>
          <w:color w:val="333333"/>
          <w:sz w:val="11"/>
          <w:szCs w:val="11"/>
          <w:shd w:val="clear" w:color="auto" w:fill="FFFFFF"/>
        </w:rPr>
        <w:t xml:space="preserve"> </w:t>
      </w:r>
    </w:p>
    <w:tbl>
      <w:tblPr>
        <w:tblStyle w:val="ae"/>
        <w:tblW w:w="8522" w:type="dxa"/>
        <w:jc w:val="center"/>
        <w:tblLayout w:type="fixed"/>
        <w:tblLook w:val="04A0"/>
      </w:tblPr>
      <w:tblGrid>
        <w:gridCol w:w="8522"/>
      </w:tblGrid>
      <w:tr w:rsidR="001328A6">
        <w:trPr>
          <w:trHeight w:val="450"/>
          <w:jc w:val="center"/>
        </w:trPr>
        <w:tc>
          <w:tcPr>
            <w:tcW w:w="8522" w:type="dxa"/>
          </w:tcPr>
          <w:p w:rsidR="001328A6" w:rsidRDefault="007F3236">
            <w:pPr>
              <w:pBdr>
                <w:top w:val="none" w:sz="0" w:space="1" w:color="auto"/>
                <w:left w:val="none" w:sz="0" w:space="4" w:color="auto"/>
                <w:bottom w:val="none" w:sz="0" w:space="1" w:color="auto"/>
                <w:right w:val="none" w:sz="0" w:space="4" w:color="auto"/>
              </w:pBdr>
              <w:overflowPunct w:val="0"/>
              <w:spacing w:line="480" w:lineRule="exact"/>
              <w:jc w:val="center"/>
              <w:rPr>
                <w:rFonts w:ascii="Times New Roman" w:hAnsi="Times New Roman" w:cs="Times New Roman"/>
                <w:bCs/>
                <w:sz w:val="28"/>
                <w:szCs w:val="28"/>
              </w:rPr>
            </w:pPr>
            <w:r>
              <w:rPr>
                <w:rFonts w:ascii="Times New Roman" w:hAnsi="Times New Roman" w:cstheme="minorEastAsia" w:hint="eastAsia"/>
                <w:b/>
                <w:sz w:val="24"/>
                <w:szCs w:val="24"/>
              </w:rPr>
              <w:t>专栏</w:t>
            </w:r>
            <w:r>
              <w:rPr>
                <w:rFonts w:ascii="Times New Roman" w:hAnsi="Times New Roman" w:cstheme="minorEastAsia" w:hint="eastAsia"/>
                <w:b/>
                <w:sz w:val="24"/>
                <w:szCs w:val="24"/>
              </w:rPr>
              <w:t xml:space="preserve">2 </w:t>
            </w:r>
            <w:r>
              <w:rPr>
                <w:rFonts w:ascii="Times New Roman" w:hAnsi="Times New Roman" w:cstheme="minorEastAsia" w:hint="eastAsia"/>
                <w:b/>
                <w:sz w:val="24"/>
                <w:szCs w:val="24"/>
              </w:rPr>
              <w:t>污染防治重点工程</w:t>
            </w:r>
          </w:p>
        </w:tc>
      </w:tr>
      <w:tr w:rsidR="001328A6">
        <w:trPr>
          <w:trHeight w:val="335"/>
          <w:jc w:val="center"/>
        </w:trPr>
        <w:tc>
          <w:tcPr>
            <w:tcW w:w="8522" w:type="dxa"/>
          </w:tcPr>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40"/>
              <w:rPr>
                <w:rFonts w:ascii="Times New Roman" w:hAnsi="Times New Roman" w:cs="Times New Roman"/>
                <w:bCs/>
              </w:rPr>
            </w:pPr>
            <w:r>
              <w:rPr>
                <w:rFonts w:ascii="Times New Roman" w:hAnsi="Times New Roman" w:cs="Times New Roman"/>
                <w:bCs/>
                <w:sz w:val="22"/>
              </w:rPr>
              <w:t>深入推进乌海及周边地区大气污染联防联控，以矿区环境综合治理为重点</w:t>
            </w:r>
            <w:r>
              <w:rPr>
                <w:rFonts w:ascii="Times New Roman" w:hAnsi="Times New Roman" w:cs="Times New Roman" w:hint="eastAsia"/>
                <w:bCs/>
                <w:sz w:val="22"/>
              </w:rPr>
              <w:t>，</w:t>
            </w:r>
            <w:r>
              <w:rPr>
                <w:rFonts w:ascii="Times New Roman" w:hAnsi="Times New Roman" w:cs="Times New Roman"/>
                <w:bCs/>
                <w:sz w:val="22"/>
              </w:rPr>
              <w:t>强化扬尘污染全链条整治，实施工业污染源全面达标计划。加快城镇和工业园区污水收集和处置设施建设，强化</w:t>
            </w:r>
            <w:r>
              <w:rPr>
                <w:rFonts w:ascii="Times New Roman" w:hAnsi="Times New Roman" w:cs="Times New Roman" w:hint="eastAsia"/>
                <w:bCs/>
                <w:sz w:val="22"/>
              </w:rPr>
              <w:t>黄河</w:t>
            </w:r>
            <w:r>
              <w:rPr>
                <w:rFonts w:ascii="Times New Roman" w:hAnsi="Times New Roman" w:cs="Times New Roman"/>
                <w:bCs/>
                <w:sz w:val="22"/>
              </w:rPr>
              <w:t>流域水污染防治。推动农业面源、重金属、</w:t>
            </w:r>
            <w:r>
              <w:rPr>
                <w:rFonts w:ascii="Times New Roman" w:hAnsi="Times New Roman" w:cs="Times New Roman" w:hint="eastAsia"/>
                <w:bCs/>
                <w:sz w:val="22"/>
              </w:rPr>
              <w:t>塑料</w:t>
            </w:r>
            <w:r>
              <w:rPr>
                <w:rFonts w:ascii="Times New Roman" w:hAnsi="Times New Roman" w:cs="Times New Roman"/>
                <w:bCs/>
                <w:sz w:val="22"/>
              </w:rPr>
              <w:t>污染等治理。</w:t>
            </w:r>
          </w:p>
        </w:tc>
      </w:tr>
    </w:tbl>
    <w:p w:rsidR="001328A6" w:rsidRDefault="007F3236">
      <w:pPr>
        <w:rPr>
          <w:rFonts w:ascii="Times New Roman" w:hAnsi="Times New Roman"/>
        </w:rPr>
      </w:pPr>
      <w:bookmarkStart w:id="63" w:name="_Toc55917210"/>
      <w:r>
        <w:rPr>
          <w:rFonts w:ascii="Times New Roman" w:hAnsi="Times New Roman"/>
        </w:rPr>
        <w:br w:type="page"/>
      </w: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1"/>
        <w:rPr>
          <w:rFonts w:ascii="Times New Roman" w:eastAsia="黑体" w:hAnsi="Times New Roman" w:cs="黑体"/>
          <w:bCs/>
          <w:sz w:val="32"/>
          <w:szCs w:val="36"/>
        </w:rPr>
      </w:pPr>
      <w:bookmarkStart w:id="64" w:name="_Toc21307"/>
      <w:bookmarkStart w:id="65" w:name="_Toc20517"/>
      <w:r>
        <w:rPr>
          <w:rFonts w:ascii="Times New Roman" w:eastAsia="黑体" w:hAnsi="Times New Roman" w:cs="黑体" w:hint="eastAsia"/>
          <w:bCs/>
          <w:sz w:val="32"/>
          <w:szCs w:val="36"/>
        </w:rPr>
        <w:lastRenderedPageBreak/>
        <w:t>第五章强化集约节约推进发展方式绿色转型</w:t>
      </w:r>
      <w:bookmarkEnd w:id="63"/>
      <w:bookmarkEnd w:id="64"/>
      <w:bookmarkEnd w:id="65"/>
    </w:p>
    <w:p w:rsidR="001328A6" w:rsidRDefault="001328A6">
      <w:pPr>
        <w:overflowPunct w:val="0"/>
        <w:spacing w:line="580" w:lineRule="exact"/>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rPr>
          <w:rFonts w:ascii="Times New Roman" w:eastAsia="仿宋" w:hAnsi="Times New Roman" w:cs="仿宋"/>
          <w:bCs/>
          <w:spacing w:val="-6"/>
          <w:sz w:val="30"/>
          <w:szCs w:val="30"/>
        </w:rPr>
      </w:pPr>
      <w:bookmarkStart w:id="66" w:name="_Toc55550707"/>
      <w:bookmarkStart w:id="67" w:name="_Toc55311708"/>
      <w:bookmarkStart w:id="68" w:name="_Toc55565643"/>
      <w:bookmarkStart w:id="69" w:name="_Toc53750246"/>
      <w:bookmarkStart w:id="70" w:name="_Toc55548989"/>
      <w:bookmarkStart w:id="71" w:name="_Toc55496146"/>
      <w:bookmarkStart w:id="72" w:name="_Toc55468307"/>
      <w:bookmarkStart w:id="73" w:name="_Toc55555607"/>
      <w:bookmarkStart w:id="74" w:name="_Toc55410788"/>
      <w:r>
        <w:rPr>
          <w:rFonts w:ascii="Times New Roman" w:eastAsia="仿宋" w:hAnsi="Times New Roman" w:cs="仿宋" w:hint="eastAsia"/>
          <w:bCs/>
          <w:color w:val="000000"/>
          <w:spacing w:val="-6"/>
          <w:sz w:val="30"/>
          <w:szCs w:val="30"/>
        </w:rPr>
        <w:t>坚持节约优先的基本方针，建立集约高效利用资源的生产生活方式，合理配置并循环利用能源、土地和水资源，严格执行能源和水资源消耗、建设用地等总量和强度“双控”制度，推进产业绿色低碳转型，</w:t>
      </w:r>
      <w:r>
        <w:rPr>
          <w:rFonts w:ascii="Times New Roman" w:eastAsia="仿宋" w:hAnsi="Times New Roman" w:cs="仿宋" w:hint="eastAsia"/>
          <w:bCs/>
          <w:spacing w:val="-6"/>
          <w:sz w:val="30"/>
          <w:szCs w:val="30"/>
        </w:rPr>
        <w:t>全面建设节约型社会，大幅提高资源综合利用效益。</w:t>
      </w:r>
      <w:bookmarkEnd w:id="66"/>
      <w:bookmarkEnd w:id="67"/>
      <w:bookmarkEnd w:id="68"/>
      <w:bookmarkEnd w:id="69"/>
      <w:bookmarkEnd w:id="70"/>
      <w:bookmarkEnd w:id="71"/>
      <w:bookmarkEnd w:id="72"/>
      <w:bookmarkEnd w:id="73"/>
      <w:bookmarkEnd w:id="74"/>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75" w:name="_Toc16486"/>
      <w:bookmarkStart w:id="76" w:name="_Toc55917211"/>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77" w:name="_Toc15075"/>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推动能源清洁低碳安全高效利用</w:t>
      </w:r>
      <w:bookmarkEnd w:id="75"/>
      <w:bookmarkEnd w:id="76"/>
      <w:bookmarkEnd w:id="77"/>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落实能耗总量和强度“双控”制度。严格能源消费约束性管理，逐级分解下达能源消费、碳排放控制目标任务。实行能耗预算管理，制定能耗应急预案，保障合理用能、限制过度用能。全市能源消费总量、单位地区生产总值能耗水平完成自治区下达的“十四五”期间和年度目标要求。</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推动重点行业节能降耗。开展节能存量挖潜，推进化工、冶金、建材、电力等高耗能行业节能降耗技改升级。“十四五”期间，重点耗能行业全面完成节能降耗先进技术改造，推动绿色循环发展。建立健全项目评估、准入、验收环节的节能审查制度，实行新建项目能源消费等量或减量置换机制，严控高耗能项目审批和落地。加强工业园区循环化改造，应用新技术推动氯碱化工和煤焦化工中间产品高效利用。</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大力发展绿色节能建筑。以建设绿色生态城区为目标，全面执</w:t>
      </w:r>
      <w:r>
        <w:rPr>
          <w:rFonts w:ascii="Times New Roman" w:eastAsia="仿宋" w:hAnsi="Times New Roman" w:cs="仿宋" w:hint="eastAsia"/>
          <w:bCs/>
          <w:color w:val="000000" w:themeColor="text1"/>
          <w:sz w:val="30"/>
          <w:szCs w:val="30"/>
        </w:rPr>
        <w:lastRenderedPageBreak/>
        <w:t>行居住建筑节能</w:t>
      </w:r>
      <w:r>
        <w:rPr>
          <w:rFonts w:ascii="Times New Roman" w:eastAsia="仿宋" w:hAnsi="Times New Roman" w:cs="仿宋" w:hint="eastAsia"/>
          <w:bCs/>
          <w:color w:val="000000" w:themeColor="text1"/>
          <w:sz w:val="30"/>
          <w:szCs w:val="30"/>
        </w:rPr>
        <w:t>75%</w:t>
      </w:r>
      <w:r>
        <w:rPr>
          <w:rFonts w:ascii="Times New Roman" w:eastAsia="仿宋" w:hAnsi="Times New Roman" w:cs="仿宋" w:hint="eastAsia"/>
          <w:bCs/>
          <w:color w:val="000000" w:themeColor="text1"/>
          <w:sz w:val="30"/>
          <w:szCs w:val="30"/>
        </w:rPr>
        <w:t>、公共建筑节能</w:t>
      </w:r>
      <w:r>
        <w:rPr>
          <w:rFonts w:ascii="Times New Roman" w:eastAsia="仿宋" w:hAnsi="Times New Roman" w:cs="仿宋" w:hint="eastAsia"/>
          <w:bCs/>
          <w:color w:val="000000" w:themeColor="text1"/>
          <w:sz w:val="30"/>
          <w:szCs w:val="30"/>
        </w:rPr>
        <w:t>65%</w:t>
      </w:r>
      <w:r>
        <w:rPr>
          <w:rFonts w:ascii="Times New Roman" w:eastAsia="仿宋" w:hAnsi="Times New Roman" w:cs="仿宋" w:hint="eastAsia"/>
          <w:bCs/>
          <w:color w:val="000000" w:themeColor="text1"/>
          <w:sz w:val="30"/>
          <w:szCs w:val="30"/>
        </w:rPr>
        <w:t>的设计标准，扎实推进既有建筑节能改造，加大既有建筑的供热系统改造，推进供热计量改革，提高热源效率和管网保温性能。加强公共建筑节能管理，积极开展公共建筑能耗统计、能源审计和能效公示。</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仿宋" w:hAnsi="Times New Roman" w:cs="仿宋"/>
          <w:bCs/>
          <w:sz w:val="30"/>
          <w:szCs w:val="30"/>
        </w:rPr>
      </w:pPr>
      <w:bookmarkStart w:id="78" w:name="_Toc1213"/>
      <w:bookmarkStart w:id="79" w:name="_Toc55917212"/>
      <w:bookmarkStart w:id="80" w:name="_Toc22941"/>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r>
        <w:rPr>
          <w:rFonts w:ascii="Times New Roman" w:eastAsia="楷体" w:hAnsi="Times New Roman" w:cs="楷体" w:hint="eastAsia"/>
          <w:bCs/>
          <w:sz w:val="32"/>
          <w:szCs w:val="32"/>
        </w:rPr>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高效节约利用水资源</w:t>
      </w:r>
      <w:bookmarkEnd w:id="78"/>
      <w:bookmarkEnd w:id="79"/>
      <w:bookmarkEnd w:id="80"/>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强化水资源开发利用管控。坚持“以水定城、以水定地、以水定人、以水定产”，合理规划城市和产业发展。实施最严格水资源管理制度，严格执行水资源开发利用、用水效率控制、水功能区限制纳污三条红线和取水许可审批、用水定额管理制度，强化水资源</w:t>
      </w:r>
      <w:r>
        <w:rPr>
          <w:rFonts w:ascii="Times New Roman" w:eastAsia="仿宋" w:hAnsi="Times New Roman" w:cs="仿宋" w:hint="eastAsia"/>
          <w:bCs/>
          <w:color w:val="000000" w:themeColor="text1"/>
          <w:spacing w:val="-6"/>
          <w:sz w:val="30"/>
          <w:szCs w:val="30"/>
        </w:rPr>
        <w:t>利用刚性约束。优化水资源配置，缓解工程性缺水和资源性缺水矛盾。</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突出抓好重点行业节水。实施深度节水控水行动，推进电力、冶金、化工等行业节水诊断、水平衡测试、用水效率评估，开展电厂空冷、焦化行业干法熄焦、工业企业循环冷却水系统电化学水处理以及水矢量雾化冷却塔等节水技术改造，严格用水定额管理。加强工业园区、矿区污水处理设施建设，提升园区和矿区工业废水、中水、煤矿疏干水等非常规水资源收集利用水平。推广渠道防渗、管道输水、喷灌、微灌等节水灌溉技术，推动农业节水。从严开展节水评价，将节水作为约束性指标纳入各区党政领导班子和领导干部实绩考核。</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大力推动城市节水。加快城市供水管网改造，降低供水管网漏</w:t>
      </w:r>
      <w:r>
        <w:rPr>
          <w:rFonts w:ascii="Times New Roman" w:eastAsia="仿宋" w:hAnsi="Times New Roman" w:cs="仿宋" w:hint="eastAsia"/>
          <w:bCs/>
          <w:color w:val="000000" w:themeColor="text1"/>
          <w:sz w:val="30"/>
          <w:szCs w:val="30"/>
        </w:rPr>
        <w:lastRenderedPageBreak/>
        <w:t>损率。积极推行低影响开发建设模式，建设滞、渗、蓄、用、排相结合的雨水收集利用设施。实施全民节水行动，在学校、医院、宾馆、餐饮、洗浴、洗车等重点行业推广节水技术和器具，加大城市生活节水力度。</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仿宋" w:hAnsi="Times New Roman" w:cs="仿宋"/>
          <w:bCs/>
          <w:sz w:val="30"/>
          <w:szCs w:val="30"/>
        </w:rPr>
      </w:pPr>
      <w:bookmarkStart w:id="81" w:name="_Toc55917213"/>
      <w:bookmarkStart w:id="82" w:name="_Toc27043"/>
      <w:bookmarkStart w:id="83" w:name="_Toc8527"/>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r>
        <w:rPr>
          <w:rFonts w:ascii="Times New Roman" w:eastAsia="楷体" w:hAnsi="Times New Roman" w:cs="楷体" w:hint="eastAsia"/>
          <w:bCs/>
          <w:sz w:val="32"/>
          <w:szCs w:val="32"/>
        </w:rPr>
        <w:t>第三节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科学合理利用土地资源</w:t>
      </w:r>
      <w:bookmarkEnd w:id="81"/>
      <w:bookmarkEnd w:id="82"/>
      <w:bookmarkEnd w:id="83"/>
    </w:p>
    <w:p w:rsidR="001328A6" w:rsidRDefault="001328A6">
      <w:pPr>
        <w:pBdr>
          <w:top w:val="none" w:sz="0" w:space="1" w:color="auto"/>
          <w:left w:val="none" w:sz="0" w:space="4" w:color="auto"/>
          <w:bottom w:val="none" w:sz="0" w:space="1" w:color="auto"/>
          <w:right w:val="none" w:sz="0" w:space="4" w:color="auto"/>
        </w:pBdr>
        <w:overflowPunct w:val="0"/>
        <w:spacing w:line="580" w:lineRule="exact"/>
        <w:rPr>
          <w:rFonts w:ascii="Times New Roman" w:eastAsia="仿宋" w:hAnsi="Times New Roman" w:cs="仿宋"/>
          <w:bCs/>
          <w:color w:val="000000" w:themeColor="text1"/>
          <w:sz w:val="30"/>
          <w:szCs w:val="30"/>
        </w:rPr>
      </w:pPr>
      <w:bookmarkStart w:id="84" w:name="_Toc55468311"/>
      <w:bookmarkStart w:id="85" w:name="_Toc55496150"/>
      <w:bookmarkStart w:id="86" w:name="_Toc53750250"/>
      <w:bookmarkStart w:id="87" w:name="_Toc55550711"/>
      <w:bookmarkStart w:id="88" w:name="_Toc55311712"/>
      <w:bookmarkStart w:id="89" w:name="_Toc55548993"/>
      <w:bookmarkStart w:id="90" w:name="_Toc55565647"/>
      <w:bookmarkStart w:id="91" w:name="_Toc55410792"/>
      <w:bookmarkStart w:id="92" w:name="_Toc55555611"/>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提高土地节约集约利用水平。实施用地总量控制，推进工业用地空间整合，加大对城区、工业园区、农区闲置和空闲用地的整合力度，鼓励低效用地增容和深度开发，提高盘活挖潜存量建设用地比重。</w:t>
      </w:r>
      <w:bookmarkEnd w:id="84"/>
      <w:bookmarkEnd w:id="85"/>
      <w:bookmarkEnd w:id="86"/>
      <w:bookmarkEnd w:id="87"/>
      <w:bookmarkEnd w:id="88"/>
      <w:bookmarkEnd w:id="89"/>
      <w:bookmarkEnd w:id="90"/>
      <w:bookmarkEnd w:id="91"/>
      <w:bookmarkEnd w:id="92"/>
    </w:p>
    <w:p w:rsidR="001328A6" w:rsidRDefault="007F3236">
      <w:pPr>
        <w:pBdr>
          <w:top w:val="none" w:sz="0" w:space="1" w:color="auto"/>
          <w:left w:val="none" w:sz="0" w:space="4" w:color="auto"/>
          <w:bottom w:val="none" w:sz="0" w:space="1" w:color="auto"/>
          <w:right w:val="none" w:sz="0" w:space="4" w:color="auto"/>
        </w:pBdr>
        <w:overflowPunct w:val="0"/>
        <w:spacing w:line="580" w:lineRule="exact"/>
        <w:rPr>
          <w:rFonts w:ascii="Times New Roman" w:eastAsia="仿宋" w:hAnsi="Times New Roman" w:cs="仿宋"/>
          <w:bCs/>
          <w:color w:val="000000" w:themeColor="text1"/>
          <w:sz w:val="30"/>
          <w:szCs w:val="30"/>
        </w:rPr>
      </w:pPr>
      <w:bookmarkStart w:id="93" w:name="_Toc55468312"/>
      <w:bookmarkStart w:id="94" w:name="_Toc55555612"/>
      <w:bookmarkStart w:id="95" w:name="_Toc55496151"/>
      <w:bookmarkStart w:id="96" w:name="_Toc55548994"/>
      <w:bookmarkStart w:id="97" w:name="_Toc55311713"/>
      <w:bookmarkStart w:id="98" w:name="_Toc55410793"/>
      <w:bookmarkStart w:id="99" w:name="_Toc55565648"/>
      <w:bookmarkStart w:id="100" w:name="_Toc55550712"/>
      <w:bookmarkStart w:id="101" w:name="_Toc53750251"/>
      <w:r>
        <w:rPr>
          <w:rFonts w:ascii="Times New Roman" w:eastAsia="仿宋" w:hAnsi="Times New Roman" w:cs="仿宋" w:hint="eastAsia"/>
          <w:bCs/>
          <w:color w:val="000000" w:themeColor="text1"/>
          <w:sz w:val="30"/>
          <w:szCs w:val="30"/>
        </w:rPr>
        <w:t>创新和完善用地机制。建立健全土地节约集约利用评价考核制度，完善建设用地控制标准和评价体系，积极推进土地有偿使用。推广各类建筑节地技术，新增建设项目必须严格遵守用地控制指标，提高单位面积投资强度和节约集约用地水平。建立和探索土地出让新模式，逐步完善土地市场管理。健全土地收购储备机制，超前谋划收储土地。</w:t>
      </w:r>
      <w:bookmarkEnd w:id="93"/>
      <w:bookmarkEnd w:id="94"/>
      <w:bookmarkEnd w:id="95"/>
      <w:bookmarkEnd w:id="96"/>
      <w:bookmarkEnd w:id="97"/>
      <w:bookmarkEnd w:id="98"/>
      <w:bookmarkEnd w:id="99"/>
      <w:bookmarkEnd w:id="100"/>
      <w:bookmarkEnd w:id="101"/>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102" w:name="_Toc25820"/>
      <w:bookmarkStart w:id="103" w:name="_Toc55917214"/>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104" w:name="_Toc7787"/>
      <w:r>
        <w:rPr>
          <w:rFonts w:ascii="Times New Roman" w:eastAsia="楷体" w:hAnsi="Times New Roman" w:cs="楷体" w:hint="eastAsia"/>
          <w:bCs/>
          <w:sz w:val="32"/>
          <w:szCs w:val="32"/>
        </w:rPr>
        <w:t>第四节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大力发展绿色循环经济</w:t>
      </w:r>
      <w:bookmarkEnd w:id="102"/>
      <w:bookmarkEnd w:id="103"/>
      <w:bookmarkEnd w:id="104"/>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构建循环型工业产业链。促进企业、园区、行业间链接共生和资源协同利用，持续加大园区循环化改造力度，实现生产过程耦合</w:t>
      </w:r>
      <w:r>
        <w:rPr>
          <w:rFonts w:ascii="Times New Roman" w:eastAsia="仿宋" w:hAnsi="Times New Roman" w:cs="仿宋" w:hint="eastAsia"/>
          <w:bCs/>
          <w:color w:val="000000" w:themeColor="text1"/>
          <w:sz w:val="30"/>
          <w:szCs w:val="30"/>
        </w:rPr>
        <w:lastRenderedPageBreak/>
        <w:t>和多联产，提高资源产出效率和企业综合竞争力。发展绿色金融，支持绿色技术创新。加大落后产能、工艺和设备的淘汰力度。以我市入选国家大宗固体废弃物综合利用基地城市为契机，持续巩固国家循环经济示范城市成果，加快发展煤矸石、粉煤灰、化工废渣综合利用产业，推动废弃物综合利用，形成重点行业循环发展产业链。</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z w:val="30"/>
          <w:szCs w:val="30"/>
        </w:rPr>
        <w:t>全面提升清洁生产水平。坚持“减量化、再利用和资源化”原则，支持企业实施清洁生产改造工程，以煤焦化工、氯碱化工、冶金、电力等行业为重点，大力开展以节能、降耗、减污、增效为目</w:t>
      </w:r>
      <w:r>
        <w:rPr>
          <w:rFonts w:ascii="Times New Roman" w:eastAsia="仿宋" w:hAnsi="Times New Roman" w:cs="仿宋" w:hint="eastAsia"/>
          <w:bCs/>
          <w:spacing w:val="-6"/>
          <w:sz w:val="30"/>
          <w:szCs w:val="30"/>
        </w:rPr>
        <w:t>标的清洁生产，加强对超标、超总量排污企业的强制性清洁生产审核。</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建设循环型城市和社区。建立以城市社区和乡镇为基础的回收网络，推进废纸、废橡胶、废塑料、废电池回收与资源化。加强再生资源回收利用系统建设，推进再生金属、废旧轮胎、废旧家电回收再利用。完善垃圾分类收集系统，实施垃圾焚烧发电等项目，推进垃圾分类收集和利用，构建全市生活垃圾分类、收集、储运、处置闭环体系。加强餐厨垃圾综合治理，推动建设我市国家级餐厨废弃物资源化利用和无害化处理试点城市。推行政府绿色采购，提高政府采购中可循环使用的产品、再生产品以及节能、节水产品比例。积极倡导简约适度、绿色低碳的生活方式，引导市民树立绿色增长、共建共享的理念，逐步使绿色消费、绿色出行、绿色居住成为人们的自觉行动。</w:t>
      </w:r>
    </w:p>
    <w:p w:rsidR="001328A6" w:rsidRDefault="001328A6">
      <w:pPr>
        <w:pStyle w:val="a0"/>
        <w:overflowPunct w:val="0"/>
        <w:spacing w:before="0" w:after="0" w:line="580" w:lineRule="exact"/>
        <w:outlineLvl w:val="9"/>
        <w:rPr>
          <w:rFonts w:ascii="Times New Roman" w:eastAsia="仿宋" w:hAnsi="Times New Roman" w:cs="仿宋"/>
          <w:b w:val="0"/>
          <w:sz w:val="30"/>
          <w:szCs w:val="30"/>
        </w:rPr>
      </w:pPr>
    </w:p>
    <w:p w:rsidR="001328A6" w:rsidRDefault="001328A6">
      <w:pPr>
        <w:pStyle w:val="a4"/>
        <w:rPr>
          <w:rFonts w:ascii="Times New Roman" w:hAnsi="Times New Roman"/>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1"/>
        <w:rPr>
          <w:rFonts w:ascii="Times New Roman" w:eastAsia="黑体" w:hAnsi="Times New Roman" w:cs="黑体"/>
          <w:bCs/>
          <w:sz w:val="32"/>
          <w:szCs w:val="32"/>
        </w:rPr>
      </w:pPr>
      <w:bookmarkStart w:id="105" w:name="_Toc30303"/>
      <w:bookmarkStart w:id="106" w:name="_Toc23983"/>
      <w:r>
        <w:rPr>
          <w:rFonts w:ascii="Times New Roman" w:eastAsia="黑体" w:hAnsi="Times New Roman" w:cs="黑体" w:hint="eastAsia"/>
          <w:bCs/>
          <w:sz w:val="32"/>
          <w:szCs w:val="32"/>
        </w:rPr>
        <w:lastRenderedPageBreak/>
        <w:t>第六章加强保护和修复持续改善生态环境</w:t>
      </w:r>
      <w:bookmarkEnd w:id="48"/>
      <w:r>
        <w:rPr>
          <w:rFonts w:ascii="Times New Roman" w:eastAsia="黑体" w:hAnsi="Times New Roman" w:cs="黑体" w:hint="eastAsia"/>
          <w:bCs/>
          <w:sz w:val="32"/>
          <w:szCs w:val="32"/>
        </w:rPr>
        <w:t>质量</w:t>
      </w:r>
      <w:bookmarkEnd w:id="105"/>
      <w:bookmarkEnd w:id="106"/>
    </w:p>
    <w:p w:rsidR="001328A6" w:rsidRDefault="001328A6">
      <w:pPr>
        <w:overflowPunct w:val="0"/>
        <w:spacing w:line="580" w:lineRule="exact"/>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tabs>
          <w:tab w:val="left" w:pos="2700"/>
          <w:tab w:val="left" w:pos="2996"/>
          <w:tab w:val="left" w:pos="8640"/>
        </w:tabs>
        <w:overflowPunct w:val="0"/>
        <w:spacing w:line="580" w:lineRule="exact"/>
        <w:ind w:firstLineChars="200" w:firstLine="600"/>
        <w:textAlignment w:val="bottom"/>
        <w:rPr>
          <w:rFonts w:ascii="Times New Roman" w:eastAsia="仿宋" w:hAnsi="Times New Roman" w:cs="仿宋"/>
          <w:bCs/>
          <w:color w:val="000000" w:themeColor="text1"/>
          <w:sz w:val="30"/>
          <w:szCs w:val="30"/>
        </w:rPr>
      </w:pPr>
      <w:bookmarkStart w:id="107" w:name="_Toc55917203"/>
      <w:r>
        <w:rPr>
          <w:rFonts w:ascii="Times New Roman" w:eastAsia="仿宋" w:hAnsi="Times New Roman" w:cs="仿宋" w:hint="eastAsia"/>
          <w:bCs/>
          <w:color w:val="000000" w:themeColor="text1"/>
          <w:sz w:val="30"/>
          <w:szCs w:val="30"/>
        </w:rPr>
        <w:t>坚持保护优先、自然恢复为主，创新生态文明体制机制，统筹推进山水林田湖草沙系统治理，因地制宜开展国土绿化行动，推动河湖生态修复、水土保持、矿山整治、防风固沙，全面提升黄河流域生态系统稳定性和生态服务功能。</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108" w:name="_Toc30078"/>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109" w:name="_Toc8846"/>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bookmarkEnd w:id="107"/>
      <w:r>
        <w:rPr>
          <w:rFonts w:ascii="Times New Roman" w:eastAsia="楷体" w:hAnsi="Times New Roman" w:cs="楷体" w:hint="eastAsia"/>
          <w:bCs/>
          <w:sz w:val="32"/>
          <w:szCs w:val="32"/>
        </w:rPr>
        <w:t>统筹推进山水林田湖草沙系统治理</w:t>
      </w:r>
      <w:bookmarkEnd w:id="108"/>
      <w:bookmarkEnd w:id="109"/>
    </w:p>
    <w:p w:rsidR="001328A6" w:rsidRDefault="001328A6">
      <w:pPr>
        <w:pBdr>
          <w:top w:val="none" w:sz="0" w:space="1" w:color="auto"/>
          <w:left w:val="none" w:sz="0" w:space="4" w:color="auto"/>
          <w:bottom w:val="none" w:sz="0" w:space="1" w:color="auto"/>
          <w:right w:val="none" w:sz="0" w:space="4" w:color="auto"/>
        </w:pBdr>
        <w:tabs>
          <w:tab w:val="left" w:pos="2700"/>
          <w:tab w:val="left" w:pos="2996"/>
          <w:tab w:val="left" w:pos="8640"/>
        </w:tabs>
        <w:overflowPunct w:val="0"/>
        <w:spacing w:line="580" w:lineRule="exact"/>
        <w:ind w:firstLineChars="200" w:firstLine="600"/>
        <w:textAlignment w:val="bottom"/>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tabs>
          <w:tab w:val="left" w:pos="2700"/>
          <w:tab w:val="left" w:pos="2996"/>
          <w:tab w:val="left" w:pos="8640"/>
        </w:tabs>
        <w:overflowPunct w:val="0"/>
        <w:spacing w:line="580" w:lineRule="exact"/>
        <w:ind w:firstLineChars="200" w:firstLine="600"/>
        <w:textAlignment w:val="bottom"/>
        <w:rPr>
          <w:rFonts w:ascii="Times New Roman" w:eastAsia="仿宋" w:hAnsi="Times New Roman" w:cs="仿宋"/>
          <w:bCs/>
          <w:sz w:val="30"/>
          <w:szCs w:val="30"/>
        </w:rPr>
      </w:pPr>
      <w:r>
        <w:rPr>
          <w:rFonts w:ascii="Times New Roman" w:eastAsia="仿宋" w:hAnsi="Times New Roman" w:cs="仿宋" w:hint="eastAsia"/>
          <w:bCs/>
          <w:color w:val="000000" w:themeColor="text1"/>
          <w:sz w:val="30"/>
          <w:szCs w:val="30"/>
        </w:rPr>
        <w:t>切实加强乌海湖库区</w:t>
      </w:r>
      <w:r>
        <w:rPr>
          <w:rFonts w:ascii="Times New Roman" w:eastAsia="仿宋" w:hAnsi="Times New Roman" w:cs="仿宋" w:hint="eastAsia"/>
          <w:bCs/>
          <w:sz w:val="30"/>
          <w:szCs w:val="30"/>
        </w:rPr>
        <w:t>生态治理。</w:t>
      </w:r>
      <w:r>
        <w:rPr>
          <w:rFonts w:ascii="Times New Roman" w:eastAsia="仿宋" w:hAnsi="Times New Roman" w:cs="仿宋" w:hint="eastAsia"/>
          <w:bCs/>
          <w:color w:val="000000" w:themeColor="text1"/>
          <w:sz w:val="30"/>
          <w:szCs w:val="30"/>
        </w:rPr>
        <w:t>坚持标本兼治，以黄河流域生态保护和高质量发展为重要契机，规划实施一批重大生态工程项目，切实做好黄河河道有关问题整治工作，统筹推进生态功能修复与保护。加强</w:t>
      </w:r>
      <w:r>
        <w:rPr>
          <w:rFonts w:ascii="Times New Roman" w:eastAsia="仿宋" w:hAnsi="Times New Roman" w:cs="仿宋" w:hint="eastAsia"/>
          <w:bCs/>
          <w:sz w:val="30"/>
          <w:szCs w:val="30"/>
        </w:rPr>
        <w:t>黄河海勃湾水利枢纽库区（乌海湖）及周边生态环境建设，实施清淤疏浚、滩区综合治理等重点工程，逐步完善水沙调控机制。借助科技和市场手段，探索库区淤积泥沙资源化处置。实施黄河西岸（乌达区段）综合治理等项目，推进水土保持和小流域综合治理。</w:t>
      </w:r>
    </w:p>
    <w:p w:rsidR="001328A6" w:rsidRDefault="007F3236">
      <w:pPr>
        <w:pBdr>
          <w:top w:val="none" w:sz="0" w:space="1" w:color="auto"/>
          <w:left w:val="none" w:sz="0" w:space="4" w:color="auto"/>
          <w:bottom w:val="none" w:sz="0" w:space="1" w:color="auto"/>
          <w:right w:val="none" w:sz="0" w:space="4" w:color="auto"/>
        </w:pBdr>
        <w:tabs>
          <w:tab w:val="left" w:pos="2700"/>
          <w:tab w:val="left" w:pos="2996"/>
          <w:tab w:val="left" w:pos="8640"/>
        </w:tabs>
        <w:overflowPunct w:val="0"/>
        <w:spacing w:line="580" w:lineRule="exact"/>
        <w:ind w:firstLineChars="200" w:firstLine="600"/>
        <w:textAlignment w:val="bottom"/>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持续推进国土绿化。</w:t>
      </w:r>
      <w:r>
        <w:rPr>
          <w:rFonts w:ascii="Times New Roman" w:eastAsia="仿宋" w:hAnsi="Times New Roman" w:cs="仿宋" w:hint="eastAsia"/>
          <w:bCs/>
          <w:color w:val="000000"/>
          <w:sz w:val="30"/>
          <w:szCs w:val="30"/>
        </w:rPr>
        <w:t>实施乌海湖周边区域绿化提质改造工程，</w:t>
      </w:r>
      <w:r>
        <w:rPr>
          <w:rFonts w:ascii="Times New Roman" w:eastAsia="仿宋" w:hAnsi="Times New Roman" w:cs="仿宋" w:hint="eastAsia"/>
          <w:bCs/>
          <w:color w:val="000000" w:themeColor="text1"/>
          <w:sz w:val="30"/>
          <w:szCs w:val="30"/>
        </w:rPr>
        <w:t>建设农田园区防护林、沙漠锁边造林、工矿区绿化等全域生态绿化工程，强化土地沙化荒漠化防治。加强生态公益林建设和湿地保护修复，推动黄河两岸绿色走廊建设，构建黄河及库区绿色岸线，形成“山筑绿屏、水田沙矿串绿线”的生态保护格局。</w:t>
      </w:r>
    </w:p>
    <w:p w:rsidR="001328A6" w:rsidRDefault="007F3236">
      <w:pPr>
        <w:pBdr>
          <w:top w:val="none" w:sz="0" w:space="1" w:color="auto"/>
          <w:left w:val="none" w:sz="0" w:space="4" w:color="auto"/>
          <w:bottom w:val="none" w:sz="0" w:space="1" w:color="auto"/>
          <w:right w:val="none" w:sz="0" w:space="4" w:color="auto"/>
        </w:pBdr>
        <w:tabs>
          <w:tab w:val="left" w:pos="2700"/>
          <w:tab w:val="left" w:pos="2996"/>
          <w:tab w:val="left" w:pos="8640"/>
        </w:tabs>
        <w:overflowPunct w:val="0"/>
        <w:spacing w:line="580" w:lineRule="exact"/>
        <w:ind w:firstLineChars="200" w:firstLine="600"/>
        <w:textAlignment w:val="bottom"/>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大力推进矿山生态修复和绿色矿山建设。扎实推进地质环境保</w:t>
      </w:r>
      <w:r>
        <w:rPr>
          <w:rFonts w:ascii="Times New Roman" w:eastAsia="仿宋" w:hAnsi="Times New Roman" w:cs="仿宋" w:hint="eastAsia"/>
          <w:bCs/>
          <w:color w:val="000000" w:themeColor="text1"/>
          <w:sz w:val="30"/>
          <w:szCs w:val="30"/>
        </w:rPr>
        <w:lastRenderedPageBreak/>
        <w:t>护工作，完善矿山企业生态环境准入退出机制，压实矿山企业生态环境治理责任。按照“政府引导、企业实施、试点先行、示范引领”的理念，采取集中连片、联合治理的方式，实施采煤沉陷区综合治理、骆驼山矿区排土场连片治理等项目，分类推进矿山废弃地、采煤沉陷区生态修复。加快历史遗留矿山治理进度，按属地管理原则推动已关闭、废弃矿山恢复治理。积极引入市场机制，鼓励矿山生态恢复治理与光伏产业、旅游产业、林草产业</w:t>
      </w:r>
      <w:r>
        <w:rPr>
          <w:rFonts w:ascii="Times New Roman" w:eastAsia="仿宋" w:hAnsi="Times New Roman" w:cs="仿宋" w:hint="eastAsia"/>
          <w:bCs/>
          <w:color w:val="000000" w:themeColor="text1"/>
          <w:spacing w:val="-6"/>
          <w:sz w:val="30"/>
          <w:szCs w:val="30"/>
        </w:rPr>
        <w:t>发展相结合，提高矿山恢复治理的经济效益、生态效益和可持续性。</w:t>
      </w:r>
    </w:p>
    <w:p w:rsidR="001328A6" w:rsidRDefault="007F3236">
      <w:pPr>
        <w:pBdr>
          <w:top w:val="none" w:sz="0" w:space="1" w:color="auto"/>
          <w:left w:val="none" w:sz="0" w:space="4" w:color="auto"/>
          <w:bottom w:val="none" w:sz="0" w:space="1" w:color="auto"/>
          <w:right w:val="none" w:sz="0" w:space="4" w:color="auto"/>
        </w:pBdr>
        <w:tabs>
          <w:tab w:val="left" w:pos="2700"/>
          <w:tab w:val="left" w:pos="2996"/>
          <w:tab w:val="left" w:pos="8640"/>
        </w:tabs>
        <w:overflowPunct w:val="0"/>
        <w:spacing w:line="580" w:lineRule="exact"/>
        <w:ind w:firstLineChars="200" w:firstLine="600"/>
        <w:textAlignment w:val="bottom"/>
        <w:rPr>
          <w:rFonts w:ascii="Times New Roman" w:eastAsia="仿宋" w:hAnsi="Times New Roman" w:cs="仿宋"/>
          <w:bCs/>
          <w:color w:val="000000"/>
          <w:sz w:val="30"/>
          <w:szCs w:val="30"/>
        </w:rPr>
      </w:pPr>
      <w:r>
        <w:rPr>
          <w:rFonts w:ascii="Times New Roman" w:eastAsia="仿宋" w:hAnsi="Times New Roman" w:cs="仿宋" w:hint="eastAsia"/>
          <w:bCs/>
          <w:color w:val="000000"/>
          <w:sz w:val="30"/>
          <w:szCs w:val="30"/>
        </w:rPr>
        <w:t>强化生物多样性保护。</w:t>
      </w:r>
      <w:r>
        <w:rPr>
          <w:rFonts w:ascii="Times New Roman" w:eastAsia="仿宋" w:hAnsi="Times New Roman" w:cs="仿宋" w:hint="eastAsia"/>
          <w:bCs/>
          <w:color w:val="000000" w:themeColor="text1"/>
          <w:sz w:val="30"/>
          <w:szCs w:val="30"/>
        </w:rPr>
        <w:t>加大</w:t>
      </w:r>
      <w:r>
        <w:rPr>
          <w:rFonts w:ascii="Times New Roman" w:eastAsia="仿宋" w:hAnsi="Times New Roman" w:cs="仿宋" w:hint="eastAsia"/>
          <w:bCs/>
          <w:color w:val="000000"/>
          <w:sz w:val="30"/>
          <w:szCs w:val="30"/>
        </w:rPr>
        <w:t>野生动植物资源保护力度，开展水生生物资源增殖放流工作，严厉打击非法捕捞行为</w:t>
      </w:r>
      <w:r>
        <w:rPr>
          <w:rFonts w:ascii="Times New Roman" w:eastAsia="仿宋" w:hAnsi="Times New Roman" w:cs="仿宋" w:hint="eastAsia"/>
          <w:bCs/>
          <w:color w:val="000000" w:themeColor="text1"/>
          <w:sz w:val="30"/>
          <w:szCs w:val="30"/>
        </w:rPr>
        <w:t>。</w:t>
      </w:r>
      <w:r>
        <w:rPr>
          <w:rFonts w:ascii="Times New Roman" w:eastAsia="仿宋" w:hAnsi="Times New Roman" w:cs="仿宋" w:hint="eastAsia"/>
          <w:bCs/>
          <w:color w:val="000000"/>
          <w:sz w:val="30"/>
          <w:szCs w:val="30"/>
        </w:rPr>
        <w:t>加强西鄂尔多斯国家级自然保护区（乌海辖区）建设和管理力度，强化保护区日常巡护检查</w:t>
      </w:r>
      <w:r>
        <w:rPr>
          <w:rFonts w:ascii="Times New Roman" w:eastAsia="仿宋" w:hAnsi="Times New Roman" w:cs="仿宋" w:hint="eastAsia"/>
          <w:bCs/>
          <w:color w:val="000000" w:themeColor="text1"/>
          <w:sz w:val="30"/>
          <w:szCs w:val="30"/>
        </w:rPr>
        <w:t>。实施保护区生态环境修复工程，加强四合木等珍稀植物保护。</w:t>
      </w:r>
      <w:r>
        <w:rPr>
          <w:rFonts w:ascii="Times New Roman" w:eastAsia="仿宋" w:hAnsi="Times New Roman" w:cs="仿宋" w:hint="eastAsia"/>
          <w:bCs/>
          <w:color w:val="000000"/>
          <w:sz w:val="30"/>
          <w:szCs w:val="30"/>
        </w:rPr>
        <w:t>坚持“全面保护、科学恢复、合理利用、持续发展”的原则，开展湿地保护和利用工作，确保黄河乌海段区域生态多样性稳步提升。</w:t>
      </w:r>
    </w:p>
    <w:p w:rsidR="001328A6" w:rsidRDefault="001328A6">
      <w:pPr>
        <w:pStyle w:val="a0"/>
        <w:spacing w:before="0" w:after="0" w:line="240" w:lineRule="exact"/>
        <w:rPr>
          <w:rFonts w:ascii="Times New Roman" w:hAnsi="Times New Roman"/>
        </w:rPr>
      </w:pPr>
    </w:p>
    <w:p w:rsidR="001328A6" w:rsidRDefault="001328A6">
      <w:pPr>
        <w:pStyle w:val="20"/>
        <w:overflowPunct w:val="0"/>
        <w:spacing w:line="240" w:lineRule="exact"/>
        <w:ind w:leftChars="0" w:left="0"/>
        <w:rPr>
          <w:rFonts w:ascii="Times New Roman" w:hAnsi="Times New Roman" w:cs="Times New Roman"/>
          <w:bCs/>
        </w:rPr>
      </w:pPr>
    </w:p>
    <w:tbl>
      <w:tblPr>
        <w:tblStyle w:val="ae"/>
        <w:tblW w:w="8522" w:type="dxa"/>
        <w:jc w:val="center"/>
        <w:tblLayout w:type="fixed"/>
        <w:tblLook w:val="04A0"/>
      </w:tblPr>
      <w:tblGrid>
        <w:gridCol w:w="8522"/>
      </w:tblGrid>
      <w:tr w:rsidR="001328A6">
        <w:trPr>
          <w:trHeight w:val="510"/>
          <w:jc w:val="center"/>
        </w:trPr>
        <w:tc>
          <w:tcPr>
            <w:tcW w:w="8522" w:type="dxa"/>
          </w:tcPr>
          <w:p w:rsidR="001328A6" w:rsidRDefault="007F3236">
            <w:pPr>
              <w:pBdr>
                <w:top w:val="none" w:sz="0" w:space="1" w:color="auto"/>
                <w:left w:val="none" w:sz="0" w:space="4" w:color="auto"/>
                <w:bottom w:val="none" w:sz="0" w:space="1" w:color="auto"/>
                <w:right w:val="none" w:sz="0" w:space="4" w:color="auto"/>
              </w:pBdr>
              <w:overflowPunct w:val="0"/>
              <w:spacing w:line="480" w:lineRule="exact"/>
              <w:jc w:val="center"/>
              <w:rPr>
                <w:rFonts w:ascii="Times New Roman" w:eastAsia="仿宋_GB2312" w:hAnsi="Times New Roman" w:cs="Times New Roman"/>
                <w:bCs/>
                <w:color w:val="000000" w:themeColor="text1"/>
                <w:sz w:val="32"/>
                <w:szCs w:val="32"/>
              </w:rPr>
            </w:pPr>
            <w:r>
              <w:rPr>
                <w:rFonts w:ascii="Times New Roman" w:hAnsi="Times New Roman" w:cstheme="minorEastAsia" w:hint="eastAsia"/>
                <w:b/>
                <w:color w:val="000000" w:themeColor="text1"/>
                <w:sz w:val="24"/>
                <w:szCs w:val="24"/>
              </w:rPr>
              <w:t>专栏</w:t>
            </w:r>
            <w:r>
              <w:rPr>
                <w:rFonts w:ascii="Times New Roman" w:hAnsi="Times New Roman" w:cstheme="minorEastAsia" w:hint="eastAsia"/>
                <w:b/>
                <w:color w:val="000000" w:themeColor="text1"/>
                <w:sz w:val="24"/>
                <w:szCs w:val="24"/>
              </w:rPr>
              <w:t xml:space="preserve">3 </w:t>
            </w:r>
            <w:r>
              <w:rPr>
                <w:rFonts w:ascii="Times New Roman" w:hAnsi="Times New Roman" w:cstheme="minorEastAsia" w:hint="eastAsia"/>
                <w:b/>
                <w:color w:val="000000" w:themeColor="text1"/>
                <w:sz w:val="24"/>
                <w:szCs w:val="24"/>
              </w:rPr>
              <w:t>生态环境修复治理重点工程</w:t>
            </w:r>
          </w:p>
        </w:tc>
      </w:tr>
      <w:tr w:rsidR="001328A6">
        <w:trPr>
          <w:jc w:val="center"/>
        </w:trPr>
        <w:tc>
          <w:tcPr>
            <w:tcW w:w="8522" w:type="dxa"/>
          </w:tcPr>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eastAsia="宋体" w:hAnsi="Times New Roman" w:cs="Times New Roman"/>
                <w:bCs/>
                <w:color w:val="000000" w:themeColor="text1"/>
                <w:sz w:val="24"/>
                <w:szCs w:val="24"/>
              </w:rPr>
            </w:pPr>
            <w:r>
              <w:rPr>
                <w:rFonts w:ascii="Times New Roman" w:eastAsia="宋体" w:hAnsi="Times New Roman" w:cs="Times New Roman"/>
                <w:bCs/>
                <w:color w:val="000000" w:themeColor="text1"/>
                <w:sz w:val="24"/>
                <w:szCs w:val="24"/>
              </w:rPr>
              <w:t>加强库区及周边生态环境建设，实施</w:t>
            </w:r>
            <w:r>
              <w:rPr>
                <w:rFonts w:ascii="Times New Roman" w:eastAsia="宋体" w:hAnsi="Times New Roman" w:cs="Times New Roman" w:hint="eastAsia"/>
                <w:bCs/>
                <w:color w:val="000000" w:themeColor="text1"/>
                <w:sz w:val="24"/>
                <w:szCs w:val="24"/>
              </w:rPr>
              <w:t>黄河</w:t>
            </w:r>
            <w:r>
              <w:rPr>
                <w:rFonts w:ascii="Times New Roman" w:eastAsia="宋体" w:hAnsi="Times New Roman" w:cs="Times New Roman"/>
                <w:bCs/>
                <w:color w:val="000000" w:themeColor="text1"/>
                <w:sz w:val="24"/>
                <w:szCs w:val="24"/>
              </w:rPr>
              <w:t>清淤疏浚、沿黄岸线防护和滩区综合治理等重点工程。推进国土绿化和矿山生态修复。</w:t>
            </w:r>
          </w:p>
        </w:tc>
      </w:tr>
    </w:tbl>
    <w:p w:rsidR="001328A6" w:rsidRDefault="007F3236">
      <w:pPr>
        <w:rPr>
          <w:rFonts w:ascii="Times New Roman" w:eastAsia="楷体_GB2312" w:hAnsi="Times New Roman" w:cs="Times New Roman"/>
          <w:bCs/>
          <w:sz w:val="32"/>
          <w:szCs w:val="32"/>
        </w:rPr>
      </w:pPr>
      <w:bookmarkStart w:id="110" w:name="_Toc26010"/>
      <w:bookmarkStart w:id="111" w:name="_Toc55917205"/>
      <w:r>
        <w:rPr>
          <w:rFonts w:ascii="Times New Roman" w:eastAsia="楷体_GB2312" w:hAnsi="Times New Roman" w:cs="Times New Roman"/>
          <w:bCs/>
          <w:sz w:val="32"/>
          <w:szCs w:val="32"/>
        </w:rPr>
        <w:br w:type="page"/>
      </w: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112" w:name="_Toc6302"/>
      <w:r>
        <w:rPr>
          <w:rFonts w:ascii="Times New Roman" w:eastAsia="楷体" w:hAnsi="Times New Roman" w:cs="楷体" w:hint="eastAsia"/>
          <w:bCs/>
          <w:sz w:val="32"/>
          <w:szCs w:val="32"/>
        </w:rPr>
        <w:lastRenderedPageBreak/>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创新生态文明体制机制</w:t>
      </w:r>
      <w:bookmarkEnd w:id="110"/>
      <w:bookmarkEnd w:id="111"/>
      <w:bookmarkEnd w:id="112"/>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40"/>
        <w:rPr>
          <w:rFonts w:ascii="Times New Roman" w:eastAsia="仿宋_GB2312" w:hAnsi="Times New Roman" w:cs="Times New Roman"/>
          <w:bCs/>
          <w:color w:val="000000" w:themeColor="text1"/>
          <w:sz w:val="32"/>
          <w:szCs w:val="32"/>
        </w:rPr>
      </w:pP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完善自然资源资产产权制度。开展自然资源资产状况调查评价，清晰界定国土空间各类自然资源资产的产权主体，构建归属清晰、权责明确、监管有效的自然资源资产产权制度。对森林、农田、荒地、河流、湿地、矿产等自然生态空间和自然资源资产进行确权登记，明确所有者、监管者及其责任。探索开展自然资源资产负债表编制工作，为有效保护和永续利用自然资源，推进生态文明建设提供基础信息、监测预警和决策支持。</w:t>
      </w: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健全生态文明绩效评价考核和责任追究制度。完善绿色发展指标体系，落实生态文明建设目标评价考核办法。完善生态环境损害评估体系，落实生态环境损害赔偿制度，实施领导干部生态环境损害责任终身追究制度。建立健全生态安全动态监测预警体系，定期对生态风险开展全面调查评估，完善突发生态环境事件信息报告和公开机制。严格环境损害赔偿，在高风险行业推行环境污染强制责任保险。完善绿色产业制度设计，强化对绿色技术创新、绿色生产的激励，促进绿色技术、绿色生产推广应用。</w:t>
      </w: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_GB2312" w:hAnsi="Times New Roman" w:cs="Times New Roman"/>
          <w:bCs/>
          <w:color w:val="000000" w:themeColor="text1"/>
          <w:sz w:val="32"/>
          <w:szCs w:val="32"/>
        </w:rPr>
      </w:pPr>
      <w:r>
        <w:rPr>
          <w:rFonts w:ascii="Times New Roman" w:eastAsia="仿宋" w:hAnsi="Times New Roman" w:cs="仿宋" w:hint="eastAsia"/>
          <w:bCs/>
          <w:color w:val="000000" w:themeColor="text1"/>
          <w:sz w:val="30"/>
          <w:szCs w:val="30"/>
        </w:rPr>
        <w:t>完善生态保护市场化管理机制。探索建立多元化补偿机制，完善生态保护成效与资金分配挂钩的激励约束机制。健全生态保护修复资金使用机制，按照山水林田湖草沙系统治理的要求，完善相关资金使用管理办法，整合现有政策和渠道，推动形成政府和社会共同参与自然资源生态保护修复的多元化投资格局。全面落实排污许</w:t>
      </w:r>
      <w:r>
        <w:rPr>
          <w:rFonts w:ascii="Times New Roman" w:eastAsia="仿宋" w:hAnsi="Times New Roman" w:cs="仿宋" w:hint="eastAsia"/>
          <w:bCs/>
          <w:color w:val="000000" w:themeColor="text1"/>
          <w:sz w:val="30"/>
          <w:szCs w:val="30"/>
        </w:rPr>
        <w:lastRenderedPageBreak/>
        <w:t>可和总量减量制度，推进用能权、用水权、排污权和碳排放权市场化交易。基本形成自然资源有偿使用制度体系</w:t>
      </w:r>
      <w:r>
        <w:rPr>
          <w:rFonts w:ascii="Times New Roman" w:eastAsia="仿宋_GB2312" w:hAnsi="Times New Roman" w:cs="Times New Roman"/>
          <w:bCs/>
          <w:color w:val="000000" w:themeColor="text1"/>
          <w:sz w:val="30"/>
          <w:szCs w:val="30"/>
        </w:rPr>
        <w:t>。</w:t>
      </w:r>
    </w:p>
    <w:p w:rsidR="001328A6" w:rsidRDefault="007F3236">
      <w:pPr>
        <w:overflowPunct w:val="0"/>
        <w:spacing w:line="580" w:lineRule="exact"/>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br w:type="page"/>
      </w:r>
    </w:p>
    <w:p w:rsidR="001328A6" w:rsidRDefault="007F3236">
      <w:pPr>
        <w:numPr>
          <w:ilvl w:val="0"/>
          <w:numId w:val="1"/>
        </w:numPr>
        <w:overflowPunct w:val="0"/>
        <w:spacing w:line="580" w:lineRule="exact"/>
        <w:jc w:val="center"/>
        <w:outlineLvl w:val="0"/>
        <w:rPr>
          <w:rFonts w:ascii="方正小标宋简体" w:eastAsia="方正小标宋简体" w:hAnsi="方正小标宋简体" w:cs="方正小标宋简体"/>
          <w:bCs/>
          <w:sz w:val="32"/>
          <w:szCs w:val="32"/>
        </w:rPr>
      </w:pPr>
      <w:bookmarkStart w:id="113" w:name="_Toc29577"/>
      <w:bookmarkStart w:id="114" w:name="_Toc16982"/>
      <w:r>
        <w:rPr>
          <w:rFonts w:ascii="方正小标宋简体" w:eastAsia="方正小标宋简体" w:hAnsi="方正小标宋简体" w:cs="方正小标宋简体" w:hint="eastAsia"/>
          <w:bCs/>
          <w:sz w:val="32"/>
          <w:szCs w:val="32"/>
        </w:rPr>
        <w:lastRenderedPageBreak/>
        <w:t>构建现代产业体系实现转型步伐更快</w:t>
      </w:r>
      <w:bookmarkEnd w:id="113"/>
      <w:bookmarkEnd w:id="114"/>
    </w:p>
    <w:p w:rsidR="001328A6" w:rsidRDefault="001328A6">
      <w:pPr>
        <w:pStyle w:val="a0"/>
        <w:overflowPunct w:val="0"/>
        <w:spacing w:before="0" w:after="0" w:line="580" w:lineRule="exact"/>
        <w:outlineLvl w:val="9"/>
        <w:rPr>
          <w:rFonts w:ascii="Times New Roman" w:hAnsi="Times New Roman" w:cs="Times New Roman"/>
          <w:b w:val="0"/>
        </w:rPr>
      </w:pPr>
    </w:p>
    <w:p w:rsidR="001328A6" w:rsidRDefault="007F3236">
      <w:pPr>
        <w:overflowPunct w:val="0"/>
        <w:spacing w:line="580" w:lineRule="exact"/>
        <w:ind w:firstLineChars="200" w:firstLine="600"/>
        <w:rPr>
          <w:rFonts w:ascii="Times New Roman" w:eastAsia="仿宋" w:hAnsi="Times New Roman" w:cs="仿宋"/>
          <w:bCs/>
          <w:sz w:val="30"/>
          <w:szCs w:val="30"/>
        </w:rPr>
      </w:pPr>
      <w:bookmarkStart w:id="115" w:name="_Toc23332"/>
      <w:bookmarkStart w:id="116" w:name="_Toc22608"/>
      <w:bookmarkStart w:id="117" w:name="_Toc31469"/>
      <w:r>
        <w:rPr>
          <w:rFonts w:ascii="Times New Roman" w:eastAsia="仿宋" w:hAnsi="Times New Roman" w:cs="仿宋" w:hint="eastAsia"/>
          <w:bCs/>
          <w:sz w:val="30"/>
          <w:szCs w:val="30"/>
        </w:rPr>
        <w:t>按照习近平总书记“努力改变产业‘四多四少’状况”的重要指示要求，坚定不移走以生态优先、绿色发展为导向的高质量发展新路子，聚焦自治区建设国家重要能源和战略资源基地，坚持锻长板和补短板相结合，推动产业结构优化升级，提升产业基础高级化和产业链现代化水平，增强质量效益和核心竞争力，构建现代产业</w:t>
      </w:r>
      <w:r>
        <w:rPr>
          <w:rFonts w:ascii="Times New Roman" w:eastAsia="仿宋" w:hAnsi="Times New Roman" w:cs="仿宋" w:hint="eastAsia"/>
          <w:bCs/>
          <w:spacing w:val="-6"/>
          <w:sz w:val="30"/>
          <w:szCs w:val="30"/>
        </w:rPr>
        <w:t>体系，以高质量供给服务融入新发展格局，助推资源枯竭型城市转型。</w:t>
      </w:r>
    </w:p>
    <w:p w:rsidR="001328A6" w:rsidRDefault="001328A6">
      <w:pPr>
        <w:pStyle w:val="a0"/>
        <w:overflowPunct w:val="0"/>
        <w:spacing w:before="0" w:after="0" w:line="580" w:lineRule="exact"/>
        <w:outlineLvl w:val="9"/>
        <w:rPr>
          <w:rFonts w:ascii="Times New Roman" w:eastAsia="仿宋" w:hAnsi="Times New Roman" w:cs="仿宋"/>
          <w:b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1"/>
        <w:rPr>
          <w:rFonts w:ascii="Times New Roman" w:eastAsia="黑体" w:hAnsi="Times New Roman" w:cs="黑体"/>
          <w:bCs/>
          <w:sz w:val="32"/>
          <w:szCs w:val="32"/>
        </w:rPr>
      </w:pPr>
      <w:bookmarkStart w:id="118" w:name="_Toc17327"/>
      <w:bookmarkStart w:id="119" w:name="_Toc23520"/>
      <w:bookmarkStart w:id="120" w:name="_Toc14667"/>
      <w:bookmarkStart w:id="121" w:name="_Toc31462"/>
      <w:bookmarkStart w:id="122" w:name="_Toc21415"/>
      <w:bookmarkEnd w:id="115"/>
      <w:bookmarkEnd w:id="116"/>
      <w:bookmarkEnd w:id="117"/>
      <w:r>
        <w:rPr>
          <w:rFonts w:ascii="Times New Roman" w:eastAsia="黑体" w:hAnsi="Times New Roman" w:cs="黑体" w:hint="eastAsia"/>
          <w:bCs/>
          <w:sz w:val="32"/>
          <w:szCs w:val="32"/>
        </w:rPr>
        <w:t>第七章</w:t>
      </w:r>
      <w:r>
        <w:rPr>
          <w:rFonts w:ascii="Times New Roman" w:eastAsia="黑体" w:hAnsi="Times New Roman" w:cs="黑体" w:hint="eastAsia"/>
          <w:bCs/>
          <w:sz w:val="32"/>
          <w:szCs w:val="32"/>
        </w:rPr>
        <w:t xml:space="preserve"> </w:t>
      </w:r>
      <w:bookmarkEnd w:id="118"/>
      <w:bookmarkEnd w:id="119"/>
      <w:bookmarkEnd w:id="120"/>
      <w:r>
        <w:rPr>
          <w:rFonts w:ascii="Times New Roman" w:eastAsia="黑体" w:hAnsi="Times New Roman" w:cs="黑体" w:hint="eastAsia"/>
          <w:bCs/>
          <w:sz w:val="32"/>
          <w:szCs w:val="32"/>
        </w:rPr>
        <w:t>巩固传统优势促进传统产业现代化改造</w:t>
      </w:r>
      <w:bookmarkEnd w:id="121"/>
      <w:bookmarkEnd w:id="122"/>
    </w:p>
    <w:p w:rsidR="001328A6" w:rsidRDefault="001328A6">
      <w:pPr>
        <w:overflowPunct w:val="0"/>
        <w:spacing w:line="580" w:lineRule="exact"/>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jc w:val="left"/>
        <w:rPr>
          <w:rFonts w:ascii="Times New Roman" w:eastAsia="仿宋" w:hAnsi="Times New Roman" w:cs="仿宋"/>
          <w:bCs/>
          <w:snapToGrid w:val="0"/>
          <w:spacing w:val="6"/>
          <w:kern w:val="0"/>
          <w:sz w:val="30"/>
          <w:szCs w:val="30"/>
        </w:rPr>
      </w:pPr>
      <w:r>
        <w:rPr>
          <w:rFonts w:ascii="Times New Roman" w:eastAsia="仿宋" w:hAnsi="Times New Roman" w:cs="仿宋" w:hint="eastAsia"/>
          <w:bCs/>
          <w:sz w:val="30"/>
          <w:szCs w:val="30"/>
        </w:rPr>
        <w:t>以生态优先、绿色发展理念为引导，倒逼煤炭、洗选、焦化等行业整合做强，立足煤焦化工、氯碱化工两大基地的产业规模优势、配套优势，实施产业基础再造和产业链提升工程，推动产业链向下游延伸、价值链向中高端攀升，</w:t>
      </w:r>
      <w:r>
        <w:rPr>
          <w:rFonts w:ascii="Times New Roman" w:eastAsia="仿宋" w:hAnsi="Times New Roman" w:cs="仿宋" w:hint="eastAsia"/>
          <w:bCs/>
          <w:snapToGrid w:val="0"/>
          <w:kern w:val="0"/>
          <w:sz w:val="30"/>
          <w:szCs w:val="30"/>
        </w:rPr>
        <w:t>形成全链条、高技术、循环化、广配套的绿色产业体系。</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123" w:name="_Toc11651"/>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0"/>
          <w:szCs w:val="30"/>
        </w:rPr>
      </w:pPr>
      <w:bookmarkStart w:id="124" w:name="_Toc7601"/>
      <w:r>
        <w:rPr>
          <w:rFonts w:ascii="Times New Roman" w:eastAsia="楷体" w:hAnsi="Times New Roman" w:cs="楷体" w:hint="eastAsia"/>
          <w:bCs/>
          <w:sz w:val="30"/>
          <w:szCs w:val="30"/>
        </w:rPr>
        <w:t>第一节</w:t>
      </w:r>
      <w:r>
        <w:rPr>
          <w:rFonts w:ascii="Times New Roman" w:eastAsia="楷体" w:hAnsi="Times New Roman" w:cs="楷体" w:hint="eastAsia"/>
          <w:bCs/>
          <w:sz w:val="30"/>
          <w:szCs w:val="30"/>
        </w:rPr>
        <w:t xml:space="preserve"> </w:t>
      </w:r>
      <w:r>
        <w:rPr>
          <w:rFonts w:ascii="Times New Roman" w:eastAsia="楷体" w:hAnsi="Times New Roman" w:cs="楷体" w:hint="eastAsia"/>
          <w:bCs/>
          <w:sz w:val="30"/>
          <w:szCs w:val="30"/>
        </w:rPr>
        <w:t>推进煤焦化工重组升级发展</w:t>
      </w:r>
      <w:bookmarkEnd w:id="123"/>
      <w:bookmarkEnd w:id="124"/>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napToGrid w:val="0"/>
          <w:kern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snapToGrid w:val="0"/>
          <w:kern w:val="0"/>
          <w:sz w:val="30"/>
          <w:szCs w:val="30"/>
        </w:rPr>
        <w:t>整合做强煤焦行业。按照“升级存量、做优增量、严控总量”和“以焦为基、以化为主、以化领焦”的整体思路，</w:t>
      </w:r>
      <w:r>
        <w:rPr>
          <w:rFonts w:ascii="Times New Roman" w:eastAsia="仿宋" w:hAnsi="Times New Roman" w:cs="仿宋" w:hint="eastAsia"/>
          <w:bCs/>
          <w:color w:val="000000" w:themeColor="text1"/>
          <w:sz w:val="30"/>
          <w:szCs w:val="30"/>
        </w:rPr>
        <w:t>大力推进焦化企业整合重组，实现</w:t>
      </w:r>
      <w:r>
        <w:rPr>
          <w:rFonts w:ascii="Times New Roman" w:eastAsia="仿宋" w:hAnsi="Times New Roman" w:cs="仿宋" w:hint="eastAsia"/>
          <w:bCs/>
          <w:sz w:val="30"/>
          <w:szCs w:val="30"/>
        </w:rPr>
        <w:t>单体规模达到</w:t>
      </w:r>
      <w:r>
        <w:rPr>
          <w:rFonts w:ascii="Times New Roman" w:eastAsia="仿宋" w:hAnsi="Times New Roman" w:cs="仿宋" w:hint="eastAsia"/>
          <w:bCs/>
          <w:sz w:val="30"/>
          <w:szCs w:val="30"/>
        </w:rPr>
        <w:t>300</w:t>
      </w:r>
      <w:r>
        <w:rPr>
          <w:rFonts w:ascii="Times New Roman" w:eastAsia="仿宋" w:hAnsi="Times New Roman" w:cs="仿宋" w:hint="eastAsia"/>
          <w:bCs/>
          <w:sz w:val="30"/>
          <w:szCs w:val="30"/>
        </w:rPr>
        <w:t>万吨以上，力争建成两家</w:t>
      </w:r>
      <w:r>
        <w:rPr>
          <w:rFonts w:ascii="Times New Roman" w:eastAsia="仿宋" w:hAnsi="Times New Roman" w:cs="仿宋" w:hint="eastAsia"/>
          <w:bCs/>
          <w:sz w:val="30"/>
          <w:szCs w:val="30"/>
        </w:rPr>
        <w:t>500</w:t>
      </w:r>
      <w:r>
        <w:rPr>
          <w:rFonts w:ascii="Times New Roman" w:eastAsia="仿宋" w:hAnsi="Times New Roman" w:cs="仿宋" w:hint="eastAsia"/>
          <w:bCs/>
          <w:sz w:val="30"/>
          <w:szCs w:val="30"/>
        </w:rPr>
        <w:lastRenderedPageBreak/>
        <w:t>万吨以上企业，</w:t>
      </w:r>
      <w:r>
        <w:rPr>
          <w:rFonts w:ascii="Times New Roman" w:eastAsia="仿宋" w:hAnsi="Times New Roman" w:cs="仿宋" w:hint="eastAsia"/>
          <w:bCs/>
          <w:snapToGrid w:val="0"/>
          <w:kern w:val="0"/>
          <w:sz w:val="30"/>
          <w:szCs w:val="30"/>
        </w:rPr>
        <w:t>提高产业集中集聚发展水平。制定焦化行业单位（吨）产能的能源资源消耗、污染物排放标准和安全生产标准，依法依规淘汰落后焦化产能，倒逼现有企业技术改造升级，实现技术装备水平达到国际领先水平。以地区能源资源消耗总量和污染物排放总量指标符合国家要求为前提，根据精细化工集群化、终端化发展的原料需求，适时适度新建一批高水平、高集中度焦化整合重组项目，巩固煤焦化工基地规模优势。</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snapToGrid w:val="0"/>
          <w:kern w:val="0"/>
          <w:sz w:val="30"/>
          <w:szCs w:val="30"/>
        </w:rPr>
        <w:t>推动焦化副产品加工高端发展。坚持以焦为基、以化为主，以高终端化产延伸为方向完善产业链条，推动传统焦化产业产品结构从以焦炭为主向以化产为主转变。</w:t>
      </w:r>
      <w:r>
        <w:rPr>
          <w:rFonts w:ascii="Times New Roman" w:eastAsia="仿宋" w:hAnsi="Times New Roman" w:cs="仿宋" w:hint="eastAsia"/>
          <w:bCs/>
          <w:sz w:val="30"/>
          <w:szCs w:val="30"/>
        </w:rPr>
        <w:t>实施煤焦化工延链补链育链工程，推进焦炉煤气综合利用、煤焦油递进加工、粗苯深加工。</w:t>
      </w:r>
      <w:r>
        <w:rPr>
          <w:rFonts w:ascii="Times New Roman" w:eastAsia="仿宋" w:hAnsi="Times New Roman" w:cs="仿宋" w:hint="eastAsia"/>
          <w:bCs/>
          <w:snapToGrid w:val="0"/>
          <w:kern w:val="0"/>
          <w:sz w:val="30"/>
          <w:szCs w:val="30"/>
        </w:rPr>
        <w:t>坚持焦炉煤气作为原料而不作为普通燃料，建设焦炉煤气制甲醇、甲醚、氢气综合利用等项目，再向烷烃、烯烃等脂肪族化合物、氢能源领域延伸拓展，提升焦炉煤气高附加值利用水平。积极推广应用新一代</w:t>
      </w:r>
      <w:r>
        <w:rPr>
          <w:rFonts w:ascii="Times New Roman" w:eastAsia="仿宋" w:hAnsi="Times New Roman" w:cs="仿宋" w:hint="eastAsia"/>
          <w:bCs/>
          <w:snapToGrid w:val="0"/>
          <w:spacing w:val="6"/>
          <w:kern w:val="0"/>
          <w:sz w:val="30"/>
          <w:szCs w:val="30"/>
        </w:rPr>
        <w:t>甲醇增产技术。建设煤焦油递进加工项目，围绕煤焦油—针状焦—负极—碳纤维、煤焦油—酚油—粗酚、萘油—精萘—苯酐—二萘酚、洗油—炭黑油和动力油等产业链，推动实施锂电池负极材料、针状焦、碳纤维及制品一体化等下游延伸项目。加大焦化苯回收力度，推动氯苯、苯胺、苯酚等芳香族化合物关键节点产品向高附加值下游方向延伸，构建苯系精细化工产业链。到</w:t>
      </w:r>
      <w:r>
        <w:rPr>
          <w:rFonts w:ascii="Times New Roman" w:eastAsia="仿宋" w:hAnsi="Times New Roman" w:cs="仿宋" w:hint="eastAsia"/>
          <w:bCs/>
          <w:snapToGrid w:val="0"/>
          <w:spacing w:val="6"/>
          <w:kern w:val="0"/>
          <w:sz w:val="30"/>
          <w:szCs w:val="30"/>
        </w:rPr>
        <w:t>2025</w:t>
      </w:r>
      <w:r>
        <w:rPr>
          <w:rFonts w:ascii="Times New Roman" w:eastAsia="仿宋" w:hAnsi="Times New Roman" w:cs="仿宋" w:hint="eastAsia"/>
          <w:bCs/>
          <w:snapToGrid w:val="0"/>
          <w:spacing w:val="6"/>
          <w:kern w:val="0"/>
          <w:sz w:val="30"/>
          <w:szCs w:val="30"/>
        </w:rPr>
        <w:t>年，煤焦化副产品综合利用率力争达到</w:t>
      </w:r>
      <w:r>
        <w:rPr>
          <w:rFonts w:ascii="Times New Roman" w:eastAsia="仿宋" w:hAnsi="Times New Roman" w:cs="仿宋" w:hint="eastAsia"/>
          <w:bCs/>
          <w:snapToGrid w:val="0"/>
          <w:spacing w:val="6"/>
          <w:kern w:val="0"/>
          <w:sz w:val="30"/>
          <w:szCs w:val="30"/>
        </w:rPr>
        <w:t>100%</w:t>
      </w:r>
      <w:r>
        <w:rPr>
          <w:rFonts w:ascii="Times New Roman" w:eastAsia="仿宋" w:hAnsi="Times New Roman" w:cs="仿宋" w:hint="eastAsia"/>
          <w:bCs/>
          <w:snapToGrid w:val="0"/>
          <w:spacing w:val="6"/>
          <w:kern w:val="0"/>
          <w:sz w:val="30"/>
          <w:szCs w:val="30"/>
        </w:rPr>
        <w:t>，化工产值比重显著提高，成为传统产业转型升级的主要支撑。</w:t>
      </w: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0"/>
          <w:szCs w:val="30"/>
        </w:rPr>
      </w:pPr>
      <w:bookmarkStart w:id="125" w:name="_Toc26368"/>
      <w:bookmarkStart w:id="126" w:name="_Toc2381"/>
      <w:r>
        <w:rPr>
          <w:rFonts w:ascii="Times New Roman" w:eastAsia="楷体" w:hAnsi="Times New Roman" w:cs="楷体" w:hint="eastAsia"/>
          <w:bCs/>
          <w:sz w:val="30"/>
          <w:szCs w:val="30"/>
        </w:rPr>
        <w:lastRenderedPageBreak/>
        <w:t>第二节推进氯碱化工多元高端发展</w:t>
      </w:r>
      <w:bookmarkEnd w:id="125"/>
      <w:bookmarkEnd w:id="126"/>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648"/>
        <w:rPr>
          <w:rFonts w:ascii="Times New Roman" w:eastAsia="仿宋" w:hAnsi="Times New Roman" w:cs="仿宋"/>
          <w:bCs/>
          <w:snapToGrid w:val="0"/>
          <w:kern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648"/>
        <w:rPr>
          <w:rFonts w:ascii="Times New Roman" w:eastAsia="仿宋" w:hAnsi="Times New Roman" w:cs="仿宋"/>
          <w:bCs/>
          <w:sz w:val="30"/>
          <w:szCs w:val="30"/>
        </w:rPr>
      </w:pPr>
      <w:r>
        <w:rPr>
          <w:rFonts w:ascii="Times New Roman" w:eastAsia="仿宋" w:hAnsi="Times New Roman" w:cs="仿宋" w:hint="eastAsia"/>
          <w:bCs/>
          <w:snapToGrid w:val="0"/>
          <w:kern w:val="0"/>
          <w:sz w:val="30"/>
          <w:szCs w:val="30"/>
        </w:rPr>
        <w:t>推动氯碱化工板块绿色化终端化发展。促进现有氯碱化工产业进行低能耗、低汞（无汞）化生产工艺改造。建设</w:t>
      </w:r>
      <w:r>
        <w:rPr>
          <w:rFonts w:ascii="Times New Roman" w:eastAsia="仿宋" w:hAnsi="Times New Roman" w:cs="仿宋" w:hint="eastAsia"/>
          <w:bCs/>
          <w:snapToGrid w:val="0"/>
          <w:kern w:val="0"/>
          <w:sz w:val="30"/>
          <w:szCs w:val="30"/>
        </w:rPr>
        <w:t>PVC</w:t>
      </w:r>
      <w:r>
        <w:rPr>
          <w:rFonts w:ascii="Times New Roman" w:eastAsia="仿宋" w:hAnsi="Times New Roman" w:cs="仿宋" w:hint="eastAsia"/>
          <w:bCs/>
          <w:snapToGrid w:val="0"/>
          <w:kern w:val="0"/>
          <w:sz w:val="30"/>
          <w:szCs w:val="30"/>
        </w:rPr>
        <w:t>初级产品深加工项目，开发</w:t>
      </w:r>
      <w:r>
        <w:rPr>
          <w:rFonts w:ascii="Times New Roman" w:eastAsia="仿宋" w:hAnsi="Times New Roman" w:cs="仿宋" w:hint="eastAsia"/>
          <w:bCs/>
          <w:snapToGrid w:val="0"/>
          <w:kern w:val="0"/>
          <w:sz w:val="30"/>
          <w:szCs w:val="30"/>
        </w:rPr>
        <w:t>PVC</w:t>
      </w:r>
      <w:r>
        <w:rPr>
          <w:rFonts w:ascii="Times New Roman" w:eastAsia="仿宋" w:hAnsi="Times New Roman" w:cs="仿宋" w:hint="eastAsia"/>
          <w:bCs/>
          <w:snapToGrid w:val="0"/>
          <w:kern w:val="0"/>
          <w:sz w:val="30"/>
          <w:szCs w:val="30"/>
        </w:rPr>
        <w:t>糊树脂和专用特种树脂，进军装饰装修、汽车配件等高附加值产品领域，发展节能型材、管材等深加工制品产业。</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648"/>
        <w:rPr>
          <w:rFonts w:ascii="Times New Roman" w:eastAsia="仿宋" w:hAnsi="Times New Roman" w:cs="仿宋"/>
          <w:bCs/>
          <w:snapToGrid w:val="0"/>
          <w:kern w:val="0"/>
          <w:sz w:val="30"/>
          <w:szCs w:val="30"/>
        </w:rPr>
      </w:pPr>
      <w:r>
        <w:rPr>
          <w:rFonts w:ascii="Times New Roman" w:eastAsia="仿宋" w:hAnsi="Times New Roman" w:cs="仿宋" w:hint="eastAsia"/>
          <w:bCs/>
          <w:snapToGrid w:val="0"/>
          <w:kern w:val="0"/>
          <w:sz w:val="30"/>
          <w:szCs w:val="30"/>
        </w:rPr>
        <w:t>多元发展电石乙炔化工。加快</w:t>
      </w:r>
      <w:r>
        <w:rPr>
          <w:rFonts w:ascii="Times New Roman" w:eastAsia="仿宋" w:hAnsi="Times New Roman" w:cs="仿宋" w:hint="eastAsia"/>
          <w:bCs/>
          <w:color w:val="000000"/>
          <w:kern w:val="0"/>
          <w:sz w:val="30"/>
          <w:szCs w:val="30"/>
        </w:rPr>
        <w:t>聚乙烯多联产等项目建设进度，</w:t>
      </w:r>
      <w:r>
        <w:rPr>
          <w:rFonts w:ascii="Times New Roman" w:eastAsia="仿宋" w:hAnsi="Times New Roman" w:cs="仿宋" w:hint="eastAsia"/>
          <w:bCs/>
          <w:snapToGrid w:val="0"/>
          <w:kern w:val="0"/>
          <w:sz w:val="30"/>
          <w:szCs w:val="30"/>
        </w:rPr>
        <w:t>引进并实施一批</w:t>
      </w:r>
      <w:r>
        <w:rPr>
          <w:rFonts w:ascii="Times New Roman" w:eastAsia="仿宋" w:hAnsi="Times New Roman" w:cs="仿宋" w:hint="eastAsia"/>
          <w:bCs/>
          <w:snapToGrid w:val="0"/>
          <w:kern w:val="0"/>
          <w:sz w:val="30"/>
          <w:szCs w:val="30"/>
        </w:rPr>
        <w:t>PVA</w:t>
      </w:r>
      <w:r>
        <w:rPr>
          <w:rFonts w:ascii="Times New Roman" w:eastAsia="仿宋" w:hAnsi="Times New Roman" w:cs="仿宋" w:hint="eastAsia"/>
          <w:bCs/>
          <w:snapToGrid w:val="0"/>
          <w:kern w:val="0"/>
          <w:sz w:val="30"/>
          <w:szCs w:val="30"/>
        </w:rPr>
        <w:t>（聚乙烯醇）、</w:t>
      </w:r>
      <w:r>
        <w:rPr>
          <w:rFonts w:ascii="Times New Roman" w:eastAsia="仿宋" w:hAnsi="Times New Roman" w:cs="仿宋" w:hint="eastAsia"/>
          <w:bCs/>
          <w:snapToGrid w:val="0"/>
          <w:kern w:val="0"/>
          <w:sz w:val="30"/>
          <w:szCs w:val="30"/>
        </w:rPr>
        <w:t>PVB</w:t>
      </w:r>
      <w:r>
        <w:rPr>
          <w:rFonts w:ascii="Times New Roman" w:eastAsia="仿宋" w:hAnsi="Times New Roman" w:cs="仿宋" w:hint="eastAsia"/>
          <w:bCs/>
          <w:snapToGrid w:val="0"/>
          <w:kern w:val="0"/>
          <w:sz w:val="30"/>
          <w:szCs w:val="30"/>
        </w:rPr>
        <w:t>（聚乙烯醇缩丁醛酯）等相关下游项目，推动</w:t>
      </w:r>
      <w:r>
        <w:rPr>
          <w:rFonts w:ascii="Times New Roman" w:eastAsia="仿宋" w:hAnsi="Times New Roman" w:cs="仿宋" w:hint="eastAsia"/>
          <w:bCs/>
          <w:snapToGrid w:val="0"/>
          <w:kern w:val="0"/>
          <w:sz w:val="30"/>
          <w:szCs w:val="30"/>
        </w:rPr>
        <w:t>1,4-</w:t>
      </w:r>
      <w:r>
        <w:rPr>
          <w:rFonts w:ascii="Times New Roman" w:eastAsia="仿宋" w:hAnsi="Times New Roman" w:cs="仿宋" w:hint="eastAsia"/>
          <w:bCs/>
          <w:snapToGrid w:val="0"/>
          <w:kern w:val="0"/>
          <w:sz w:val="30"/>
          <w:szCs w:val="30"/>
        </w:rPr>
        <w:t>丁二醇、聚四亚甲基醚二醇、可降解塑料等项目建设，形成电石—</w:t>
      </w:r>
      <w:r>
        <w:rPr>
          <w:rFonts w:ascii="Times New Roman" w:eastAsia="仿宋" w:hAnsi="Times New Roman" w:cs="仿宋" w:hint="eastAsia"/>
          <w:bCs/>
          <w:snapToGrid w:val="0"/>
          <w:kern w:val="0"/>
          <w:sz w:val="30"/>
          <w:szCs w:val="30"/>
        </w:rPr>
        <w:t>PVC</w:t>
      </w:r>
      <w:r>
        <w:rPr>
          <w:rFonts w:ascii="Times New Roman" w:eastAsia="仿宋" w:hAnsi="Times New Roman" w:cs="仿宋" w:hint="eastAsia"/>
          <w:bCs/>
          <w:snapToGrid w:val="0"/>
          <w:kern w:val="0"/>
          <w:sz w:val="30"/>
          <w:szCs w:val="30"/>
        </w:rPr>
        <w:t>—塑料制品，电石—</w:t>
      </w:r>
      <w:r>
        <w:rPr>
          <w:rFonts w:ascii="Times New Roman" w:eastAsia="仿宋" w:hAnsi="Times New Roman" w:cs="仿宋" w:hint="eastAsia"/>
          <w:bCs/>
          <w:snapToGrid w:val="0"/>
          <w:kern w:val="0"/>
          <w:sz w:val="30"/>
          <w:szCs w:val="30"/>
        </w:rPr>
        <w:t>PVA</w:t>
      </w:r>
      <w:r>
        <w:rPr>
          <w:rFonts w:ascii="Times New Roman" w:eastAsia="仿宋" w:hAnsi="Times New Roman" w:cs="仿宋" w:hint="eastAsia"/>
          <w:bCs/>
          <w:snapToGrid w:val="0"/>
          <w:kern w:val="0"/>
          <w:sz w:val="30"/>
          <w:szCs w:val="30"/>
        </w:rPr>
        <w:t>—合成树脂等，电石—</w:t>
      </w:r>
      <w:r>
        <w:rPr>
          <w:rFonts w:ascii="Times New Roman" w:eastAsia="仿宋" w:hAnsi="Times New Roman" w:cs="仿宋" w:hint="eastAsia"/>
          <w:bCs/>
          <w:snapToGrid w:val="0"/>
          <w:kern w:val="0"/>
          <w:sz w:val="30"/>
          <w:szCs w:val="30"/>
        </w:rPr>
        <w:t>BDO</w:t>
      </w:r>
      <w:r>
        <w:rPr>
          <w:rFonts w:ascii="Times New Roman" w:eastAsia="仿宋" w:hAnsi="Times New Roman" w:cs="仿宋" w:hint="eastAsia"/>
          <w:bCs/>
          <w:snapToGrid w:val="0"/>
          <w:kern w:val="0"/>
          <w:sz w:val="30"/>
          <w:szCs w:val="30"/>
        </w:rPr>
        <w:t>（</w:t>
      </w:r>
      <w:r>
        <w:rPr>
          <w:rFonts w:ascii="Times New Roman" w:eastAsia="仿宋" w:hAnsi="Times New Roman" w:cs="仿宋" w:hint="eastAsia"/>
          <w:bCs/>
          <w:snapToGrid w:val="0"/>
          <w:kern w:val="0"/>
          <w:sz w:val="30"/>
          <w:szCs w:val="30"/>
        </w:rPr>
        <w:t>1,4-</w:t>
      </w:r>
      <w:r>
        <w:rPr>
          <w:rFonts w:ascii="Times New Roman" w:eastAsia="仿宋" w:hAnsi="Times New Roman" w:cs="仿宋" w:hint="eastAsia"/>
          <w:bCs/>
          <w:snapToGrid w:val="0"/>
          <w:kern w:val="0"/>
          <w:sz w:val="30"/>
          <w:szCs w:val="30"/>
        </w:rPr>
        <w:t>丁二醇）—</w:t>
      </w:r>
      <w:r>
        <w:rPr>
          <w:rFonts w:ascii="Times New Roman" w:eastAsia="仿宋" w:hAnsi="Times New Roman" w:cs="仿宋" w:hint="eastAsia"/>
          <w:bCs/>
          <w:snapToGrid w:val="0"/>
          <w:kern w:val="0"/>
          <w:sz w:val="30"/>
          <w:szCs w:val="30"/>
        </w:rPr>
        <w:t>PBS</w:t>
      </w:r>
      <w:r>
        <w:rPr>
          <w:rFonts w:ascii="Times New Roman" w:eastAsia="仿宋" w:hAnsi="Times New Roman" w:cs="仿宋" w:hint="eastAsia"/>
          <w:bCs/>
          <w:snapToGrid w:val="0"/>
          <w:kern w:val="0"/>
          <w:sz w:val="30"/>
          <w:szCs w:val="30"/>
        </w:rPr>
        <w:t>（可降解塑料），电石—丙烯酸—丙烯酸丁酯—高分子合成材料等多条产业链协同发展的产业格局。</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pacing w:val="-6"/>
          <w:sz w:val="30"/>
          <w:szCs w:val="30"/>
        </w:rPr>
      </w:pPr>
      <w:bookmarkStart w:id="127" w:name="_Toc1087"/>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0"/>
          <w:szCs w:val="30"/>
        </w:rPr>
      </w:pPr>
      <w:bookmarkStart w:id="128" w:name="_Toc24129"/>
      <w:r>
        <w:rPr>
          <w:rFonts w:ascii="Times New Roman" w:eastAsia="楷体" w:hAnsi="Times New Roman" w:cs="楷体" w:hint="eastAsia"/>
          <w:bCs/>
          <w:sz w:val="30"/>
          <w:szCs w:val="30"/>
        </w:rPr>
        <w:t>第三节推进精细化工集群终端发展</w:t>
      </w:r>
      <w:bookmarkEnd w:id="127"/>
      <w:bookmarkEnd w:id="128"/>
    </w:p>
    <w:p w:rsidR="001328A6" w:rsidRDefault="001328A6">
      <w:pPr>
        <w:pBdr>
          <w:top w:val="none" w:sz="0" w:space="1" w:color="auto"/>
          <w:left w:val="none" w:sz="0" w:space="4" w:color="auto"/>
          <w:bottom w:val="none" w:sz="0" w:space="1" w:color="auto"/>
          <w:right w:val="none" w:sz="0" w:space="4" w:color="auto"/>
        </w:pBdr>
        <w:overflowPunct w:val="0"/>
        <w:spacing w:line="558" w:lineRule="exact"/>
        <w:ind w:firstLineChars="200" w:firstLine="576"/>
        <w:rPr>
          <w:rFonts w:ascii="Times New Roman" w:eastAsia="仿宋" w:hAnsi="Times New Roman" w:cs="仿宋"/>
          <w:bCs/>
          <w:snapToGrid w:val="0"/>
          <w:spacing w:val="-6"/>
          <w:kern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576"/>
        <w:rPr>
          <w:rFonts w:ascii="Times New Roman" w:eastAsia="仿宋_GB2312" w:hAnsi="Times New Roman" w:cs="Times New Roman"/>
          <w:bCs/>
          <w:snapToGrid w:val="0"/>
          <w:spacing w:val="6"/>
          <w:kern w:val="0"/>
          <w:sz w:val="32"/>
          <w:szCs w:val="32"/>
        </w:rPr>
      </w:pPr>
      <w:r>
        <w:rPr>
          <w:rFonts w:ascii="Times New Roman" w:eastAsia="仿宋" w:hAnsi="Times New Roman" w:cs="仿宋" w:hint="eastAsia"/>
          <w:bCs/>
          <w:snapToGrid w:val="0"/>
          <w:spacing w:val="-6"/>
          <w:kern w:val="0"/>
          <w:sz w:val="30"/>
          <w:szCs w:val="30"/>
        </w:rPr>
        <w:t>延伸精细化工产业链，推进产业科技创新，逐步向技术含量及附加值高、消耗及污染少的高端专用和功能性化学品、医药化工转型升级，打造产业特色鲜明、工艺技术先进、绿色环保集约的精细化学品产业基地，构建从医药中间体、原料药向成品药、制剂延伸的产业链条，打造农药医药产业集群。以工业硅为支撑，有机硅单体为重点，硅油、硅橡胶、硅树脂、硅烷偶联剂为发展方向，实现煤焦化工、氯碱化工、硅化工融合发展</w:t>
      </w:r>
      <w:r>
        <w:rPr>
          <w:rFonts w:ascii="Times New Roman" w:eastAsia="仿宋" w:hAnsi="Times New Roman" w:cs="仿宋" w:hint="eastAsia"/>
          <w:bCs/>
          <w:snapToGrid w:val="0"/>
          <w:spacing w:val="6"/>
          <w:kern w:val="0"/>
          <w:sz w:val="30"/>
          <w:szCs w:val="30"/>
        </w:rPr>
        <w:t>。</w:t>
      </w:r>
    </w:p>
    <w:tbl>
      <w:tblPr>
        <w:tblW w:w="8735" w:type="dxa"/>
        <w:tblInd w:w="136" w:type="dxa"/>
        <w:tblBorders>
          <w:top w:val="single" w:sz="4" w:space="0" w:color="auto"/>
          <w:left w:val="single" w:sz="4" w:space="0" w:color="auto"/>
          <w:bottom w:val="single" w:sz="4" w:space="0" w:color="auto"/>
          <w:right w:val="single" w:sz="4" w:space="0" w:color="auto"/>
        </w:tblBorders>
        <w:tblLayout w:type="fixed"/>
        <w:tblLook w:val="04A0"/>
      </w:tblPr>
      <w:tblGrid>
        <w:gridCol w:w="8735"/>
      </w:tblGrid>
      <w:tr w:rsidR="001328A6">
        <w:trPr>
          <w:trHeight w:val="510"/>
        </w:trPr>
        <w:tc>
          <w:tcPr>
            <w:tcW w:w="8735" w:type="dxa"/>
            <w:tcBorders>
              <w:top w:val="single" w:sz="4" w:space="0" w:color="auto"/>
              <w:left w:val="single" w:sz="4" w:space="0" w:color="auto"/>
              <w:bottom w:val="single" w:sz="4" w:space="0" w:color="auto"/>
              <w:right w:val="single" w:sz="4" w:space="0" w:color="auto"/>
            </w:tcBorders>
          </w:tcPr>
          <w:p w:rsidR="001328A6" w:rsidRDefault="007F3236">
            <w:pPr>
              <w:pBdr>
                <w:top w:val="none" w:sz="0" w:space="1" w:color="auto"/>
                <w:left w:val="none" w:sz="0" w:space="4" w:color="auto"/>
                <w:bottom w:val="none" w:sz="0" w:space="1" w:color="auto"/>
                <w:right w:val="none" w:sz="0" w:space="4" w:color="auto"/>
              </w:pBdr>
              <w:overflowPunct w:val="0"/>
              <w:spacing w:line="480" w:lineRule="exact"/>
              <w:jc w:val="center"/>
              <w:rPr>
                <w:rFonts w:ascii="Times New Roman" w:eastAsia="宋体" w:hAnsi="Times New Roman" w:cs="Times New Roman"/>
                <w:bCs/>
                <w:kern w:val="0"/>
                <w:sz w:val="32"/>
                <w:szCs w:val="32"/>
              </w:rPr>
            </w:pPr>
            <w:r>
              <w:rPr>
                <w:rFonts w:ascii="Times New Roman" w:hAnsi="Times New Roman" w:cstheme="minorEastAsia" w:hint="eastAsia"/>
                <w:b/>
                <w:color w:val="000000" w:themeColor="text1"/>
                <w:sz w:val="24"/>
                <w:szCs w:val="24"/>
              </w:rPr>
              <w:lastRenderedPageBreak/>
              <w:t>专栏</w:t>
            </w:r>
            <w:r>
              <w:rPr>
                <w:rFonts w:ascii="Times New Roman" w:hAnsi="Times New Roman" w:cstheme="minorEastAsia" w:hint="eastAsia"/>
                <w:b/>
                <w:color w:val="000000" w:themeColor="text1"/>
                <w:sz w:val="24"/>
                <w:szCs w:val="24"/>
              </w:rPr>
              <w:t xml:space="preserve">4  </w:t>
            </w:r>
            <w:r>
              <w:rPr>
                <w:rFonts w:ascii="Times New Roman" w:hAnsi="Times New Roman" w:cstheme="minorEastAsia" w:hint="eastAsia"/>
                <w:b/>
                <w:color w:val="000000" w:themeColor="text1"/>
                <w:sz w:val="24"/>
                <w:szCs w:val="24"/>
              </w:rPr>
              <w:t>煤焦化工、氯碱化工改造提升重点方向</w:t>
            </w:r>
          </w:p>
        </w:tc>
      </w:tr>
      <w:tr w:rsidR="001328A6">
        <w:tc>
          <w:tcPr>
            <w:tcW w:w="8735" w:type="dxa"/>
            <w:tcBorders>
              <w:top w:val="single" w:sz="4" w:space="0" w:color="auto"/>
              <w:left w:val="single" w:sz="4" w:space="0" w:color="auto"/>
              <w:bottom w:val="single" w:sz="4" w:space="0" w:color="auto"/>
              <w:right w:val="single" w:sz="4" w:space="0" w:color="auto"/>
            </w:tcBorders>
          </w:tcPr>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hAnsi="Times New Roman" w:cs="Times New Roman"/>
                <w:bCs/>
                <w:sz w:val="24"/>
                <w:szCs w:val="24"/>
              </w:rPr>
            </w:pPr>
            <w:r>
              <w:rPr>
                <w:rFonts w:ascii="Times New Roman" w:hAnsi="Times New Roman" w:cs="Times New Roman"/>
                <w:bCs/>
                <w:sz w:val="24"/>
                <w:szCs w:val="24"/>
              </w:rPr>
              <w:t>一、煤焦化工重点建设方向</w:t>
            </w:r>
          </w:p>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hAnsi="Times New Roman" w:cs="Times New Roman"/>
                <w:bCs/>
                <w:sz w:val="24"/>
                <w:szCs w:val="24"/>
              </w:rPr>
            </w:pPr>
            <w:r>
              <w:rPr>
                <w:rFonts w:ascii="Times New Roman" w:hAnsi="Times New Roman" w:cs="Times New Roman"/>
                <w:bCs/>
                <w:sz w:val="24"/>
                <w:szCs w:val="24"/>
              </w:rPr>
              <w:t>加快现有焦化产能整合重组升级，配套建设甲醇制备、焦化联产及副产品精深加工和综合利用等项目，谋划布局甲醇制烯烃、制芳烃等中高端链条项目，向煤基和碳基新材料及复合材料方向延伸。</w:t>
            </w:r>
          </w:p>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hAnsi="Times New Roman" w:cs="Times New Roman"/>
                <w:bCs/>
                <w:sz w:val="24"/>
                <w:szCs w:val="24"/>
              </w:rPr>
            </w:pPr>
            <w:r>
              <w:rPr>
                <w:rFonts w:ascii="Times New Roman" w:hAnsi="Times New Roman" w:cs="Times New Roman"/>
                <w:bCs/>
                <w:sz w:val="24"/>
                <w:szCs w:val="24"/>
              </w:rPr>
              <w:t>二、氯碱化工重点建设方向</w:t>
            </w:r>
          </w:p>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hAnsi="Times New Roman" w:cs="Times New Roman"/>
                <w:bCs/>
                <w:sz w:val="24"/>
                <w:szCs w:val="24"/>
              </w:rPr>
            </w:pPr>
            <w:r>
              <w:rPr>
                <w:rFonts w:ascii="Times New Roman" w:hAnsi="Times New Roman" w:cs="Times New Roman"/>
                <w:bCs/>
                <w:sz w:val="24"/>
                <w:szCs w:val="24"/>
              </w:rPr>
              <w:t>建设聚氯乙烯高端化及</w:t>
            </w:r>
            <w:r>
              <w:rPr>
                <w:rFonts w:ascii="Times New Roman" w:hAnsi="Times New Roman" w:cs="Times New Roman"/>
                <w:bCs/>
                <w:sz w:val="24"/>
                <w:szCs w:val="24"/>
              </w:rPr>
              <w:t>PVC</w:t>
            </w:r>
            <w:r>
              <w:rPr>
                <w:rFonts w:ascii="Times New Roman" w:hAnsi="Times New Roman" w:cs="Times New Roman"/>
                <w:bCs/>
                <w:sz w:val="24"/>
                <w:szCs w:val="24"/>
              </w:rPr>
              <w:t>深加工项目，重点向电石乙炔化工下游发展，努力将链条延伸至高分子新材料阶段。</w:t>
            </w:r>
          </w:p>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hAnsi="Times New Roman" w:cs="Times New Roman"/>
                <w:bCs/>
                <w:sz w:val="24"/>
                <w:szCs w:val="24"/>
              </w:rPr>
            </w:pPr>
            <w:r>
              <w:rPr>
                <w:rFonts w:ascii="Times New Roman" w:hAnsi="Times New Roman" w:cs="Times New Roman"/>
                <w:bCs/>
                <w:sz w:val="24"/>
                <w:szCs w:val="24"/>
              </w:rPr>
              <w:t>三、精细化工重点建设方向</w:t>
            </w:r>
          </w:p>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hAnsi="Times New Roman" w:cs="Times New Roman"/>
                <w:bCs/>
              </w:rPr>
            </w:pPr>
            <w:r>
              <w:rPr>
                <w:rFonts w:ascii="Times New Roman" w:hAnsi="Times New Roman" w:cs="Times New Roman"/>
                <w:bCs/>
                <w:sz w:val="24"/>
                <w:szCs w:val="24"/>
              </w:rPr>
              <w:t>依托现有产业基础，努力将医药中间体向成品药方向延伸，推动农药、染料产业向产品高端化、终端化发展。</w:t>
            </w:r>
          </w:p>
        </w:tc>
      </w:tr>
    </w:tbl>
    <w:p w:rsidR="001328A6" w:rsidRDefault="001328A6">
      <w:pPr>
        <w:pBdr>
          <w:top w:val="none" w:sz="0" w:space="1" w:color="auto"/>
          <w:left w:val="none" w:sz="0" w:space="4" w:color="auto"/>
          <w:bottom w:val="none" w:sz="0" w:space="1" w:color="auto"/>
          <w:right w:val="none" w:sz="0" w:space="4" w:color="auto"/>
        </w:pBdr>
        <w:overflowPunct w:val="0"/>
        <w:spacing w:line="560" w:lineRule="exact"/>
        <w:jc w:val="center"/>
        <w:rPr>
          <w:rFonts w:ascii="Times New Roman" w:eastAsia="楷体_GB2312" w:hAnsi="Times New Roman" w:cs="Times New Roman"/>
          <w:bCs/>
          <w:sz w:val="32"/>
          <w:szCs w:val="32"/>
        </w:rPr>
      </w:pPr>
      <w:bookmarkStart w:id="129" w:name="_Toc22098"/>
    </w:p>
    <w:p w:rsidR="001328A6" w:rsidRDefault="007F3236">
      <w:pPr>
        <w:pBdr>
          <w:top w:val="none" w:sz="0" w:space="1" w:color="auto"/>
          <w:left w:val="none" w:sz="0" w:space="4" w:color="auto"/>
          <w:bottom w:val="none" w:sz="0" w:space="1" w:color="auto"/>
          <w:right w:val="none" w:sz="0" w:space="4" w:color="auto"/>
        </w:pBdr>
        <w:overflowPunct w:val="0"/>
        <w:spacing w:line="610" w:lineRule="exact"/>
        <w:jc w:val="center"/>
        <w:outlineLvl w:val="2"/>
        <w:rPr>
          <w:rFonts w:ascii="Times New Roman" w:eastAsia="楷体" w:hAnsi="Times New Roman" w:cs="楷体"/>
          <w:bCs/>
          <w:sz w:val="32"/>
          <w:szCs w:val="32"/>
        </w:rPr>
      </w:pPr>
      <w:bookmarkStart w:id="130" w:name="_Toc31039"/>
      <w:r>
        <w:rPr>
          <w:rFonts w:ascii="Times New Roman" w:eastAsia="楷体" w:hAnsi="Times New Roman" w:cs="楷体" w:hint="eastAsia"/>
          <w:bCs/>
          <w:sz w:val="32"/>
          <w:szCs w:val="32"/>
        </w:rPr>
        <w:t>第四节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发展壮大资源综合利用产业</w:t>
      </w:r>
      <w:bookmarkEnd w:id="129"/>
      <w:bookmarkEnd w:id="130"/>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610" w:lineRule="exact"/>
        <w:ind w:firstLineChars="200" w:firstLine="640"/>
        <w:rPr>
          <w:rFonts w:ascii="Times New Roman" w:eastAsia="仿宋_GB2312" w:hAnsi="Times New Roman" w:cs="Times New Roman"/>
          <w:bCs/>
          <w:snapToGrid w:val="0"/>
          <w:kern w:val="0"/>
          <w:sz w:val="32"/>
          <w:szCs w:val="32"/>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610"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snapToGrid w:val="0"/>
          <w:kern w:val="0"/>
          <w:sz w:val="30"/>
          <w:szCs w:val="30"/>
        </w:rPr>
        <w:t>打造多元化固体废弃物综合利用产业集群。加快国家大宗固体废弃物综合利用基地建设，利用区域内丰富的粉煤灰、煤矸石、电石渣、矿渣、钢渣、尾矿等废弃物，大力培育发展高附加值的综合利用产业。利用粉煤灰生产高性能矿物掺合料、树脂材料及塑料制品、土壤改良剂和矿物质肥料，通过对粉煤灰进行超细改性处理，生产橡胶填料；</w:t>
      </w:r>
      <w:r>
        <w:rPr>
          <w:rFonts w:ascii="Times New Roman" w:eastAsia="仿宋" w:hAnsi="Times New Roman" w:cs="仿宋" w:hint="eastAsia"/>
          <w:bCs/>
          <w:color w:val="000000" w:themeColor="text1"/>
          <w:sz w:val="30"/>
          <w:szCs w:val="30"/>
        </w:rPr>
        <w:t>利用煤矸石生产高强轻骨料和制备陶瓷空心微珠；利用粉煤灰、煤矸石生产道路材料，</w:t>
      </w:r>
      <w:r>
        <w:rPr>
          <w:rFonts w:ascii="Times New Roman" w:eastAsia="仿宋" w:hAnsi="Times New Roman" w:cs="仿宋" w:hint="eastAsia"/>
          <w:bCs/>
          <w:snapToGrid w:val="0"/>
          <w:kern w:val="0"/>
          <w:sz w:val="30"/>
          <w:szCs w:val="30"/>
        </w:rPr>
        <w:t>高性能水泥及预拌混凝土；利用</w:t>
      </w:r>
      <w:r>
        <w:rPr>
          <w:rFonts w:ascii="Times New Roman" w:eastAsia="仿宋" w:hAnsi="Times New Roman" w:cs="仿宋" w:hint="eastAsia"/>
          <w:bCs/>
          <w:color w:val="000000" w:themeColor="text1"/>
          <w:sz w:val="30"/>
          <w:szCs w:val="30"/>
        </w:rPr>
        <w:t>脱硫石膏生产α型高强石膏；</w:t>
      </w:r>
      <w:r>
        <w:rPr>
          <w:rFonts w:ascii="Times New Roman" w:eastAsia="仿宋" w:hAnsi="Times New Roman" w:cs="仿宋" w:hint="eastAsia"/>
          <w:bCs/>
          <w:snapToGrid w:val="0"/>
          <w:kern w:val="0"/>
          <w:sz w:val="30"/>
          <w:szCs w:val="30"/>
        </w:rPr>
        <w:t>加快发展装配式建筑部品和轻体砖等新型墙体材料，</w:t>
      </w:r>
      <w:r>
        <w:rPr>
          <w:rFonts w:ascii="Times New Roman" w:eastAsia="仿宋" w:hAnsi="Times New Roman" w:cs="仿宋" w:hint="eastAsia"/>
          <w:bCs/>
          <w:sz w:val="30"/>
          <w:szCs w:val="30"/>
        </w:rPr>
        <w:t>打造新型建材产业集群，形成稳定消耗大宗固体</w:t>
      </w:r>
      <w:r>
        <w:rPr>
          <w:rFonts w:ascii="Times New Roman" w:eastAsia="仿宋" w:hAnsi="Times New Roman" w:cs="仿宋" w:hint="eastAsia"/>
          <w:bCs/>
          <w:sz w:val="30"/>
          <w:szCs w:val="30"/>
        </w:rPr>
        <w:lastRenderedPageBreak/>
        <w:t>废弃物的综合利用产业链条</w:t>
      </w:r>
      <w:r>
        <w:rPr>
          <w:rFonts w:ascii="Times New Roman" w:eastAsia="仿宋" w:hAnsi="Times New Roman" w:cs="仿宋" w:hint="eastAsia"/>
          <w:bCs/>
          <w:snapToGrid w:val="0"/>
          <w:kern w:val="0"/>
          <w:sz w:val="30"/>
          <w:szCs w:val="30"/>
        </w:rPr>
        <w:t>。</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61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z w:val="30"/>
          <w:szCs w:val="30"/>
        </w:rPr>
        <w:t>深入拓展产品应用市场。与业内权威研究机构共同搭建内蒙古工业固废交通、建材行业标准服务平台，抓住铁路网、公路网改造完善机遇，联</w:t>
      </w:r>
      <w:r>
        <w:rPr>
          <w:rFonts w:ascii="Times New Roman" w:eastAsia="仿宋" w:hAnsi="Times New Roman" w:cs="仿宋" w:hint="eastAsia"/>
          <w:bCs/>
          <w:spacing w:val="11"/>
          <w:sz w:val="30"/>
          <w:szCs w:val="30"/>
        </w:rPr>
        <w:t>合相关企业加强在铁路、公路、桥梁、隧道、建筑材料等大量消耗粉煤灰、煤矸石领域地方标准体系的制定，组建工业固废综合利用产业联盟。发挥大宗固废综合利用基地的集聚优势，到</w:t>
      </w:r>
      <w:r>
        <w:rPr>
          <w:rFonts w:ascii="Times New Roman" w:eastAsia="仿宋" w:hAnsi="Times New Roman" w:cs="仿宋" w:hint="eastAsia"/>
          <w:bCs/>
          <w:spacing w:val="11"/>
          <w:sz w:val="30"/>
          <w:szCs w:val="30"/>
        </w:rPr>
        <w:t>2025</w:t>
      </w:r>
      <w:r>
        <w:rPr>
          <w:rFonts w:ascii="Times New Roman" w:eastAsia="仿宋" w:hAnsi="Times New Roman" w:cs="仿宋" w:hint="eastAsia"/>
          <w:bCs/>
          <w:spacing w:val="11"/>
          <w:sz w:val="30"/>
          <w:szCs w:val="30"/>
        </w:rPr>
        <w:t>年，大宗固废综合利用率达到</w:t>
      </w:r>
      <w:r>
        <w:rPr>
          <w:rFonts w:ascii="Times New Roman" w:eastAsia="仿宋" w:hAnsi="Times New Roman" w:cs="仿宋" w:hint="eastAsia"/>
          <w:bCs/>
          <w:spacing w:val="11"/>
          <w:sz w:val="30"/>
          <w:szCs w:val="30"/>
        </w:rPr>
        <w:t>65%</w:t>
      </w:r>
      <w:r>
        <w:rPr>
          <w:rFonts w:ascii="Times New Roman" w:eastAsia="仿宋" w:hAnsi="Times New Roman" w:cs="仿宋" w:hint="eastAsia"/>
          <w:bCs/>
          <w:spacing w:val="11"/>
          <w:sz w:val="30"/>
          <w:szCs w:val="30"/>
        </w:rPr>
        <w:t>以上。</w:t>
      </w:r>
    </w:p>
    <w:p w:rsidR="001328A6" w:rsidRDefault="007F323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snapToGrid w:val="0"/>
          <w:kern w:val="0"/>
          <w:sz w:val="30"/>
          <w:szCs w:val="30"/>
        </w:rPr>
        <w:t>加快发展玻璃、陶瓷精深加工产业。改造提升玻璃产业，采用先进工艺，开发特种玻璃、钢化玻璃、光伏玻璃等深加工产品，提高产品市场占有率。推动高岭土资源开发利用，积极承接产业转移，引进先进陶瓷生产工艺，开发卫生洁具、工业耐磨耐腐蚀陶瓷、礼品陶瓷、高档建筑陶瓷等产品。</w:t>
      </w:r>
    </w:p>
    <w:p w:rsidR="001328A6" w:rsidRDefault="001328A6">
      <w:pPr>
        <w:pBdr>
          <w:top w:val="none" w:sz="0" w:space="1" w:color="auto"/>
          <w:left w:val="none" w:sz="0" w:space="4" w:color="auto"/>
          <w:bottom w:val="none" w:sz="0" w:space="1" w:color="auto"/>
          <w:right w:val="none" w:sz="0" w:space="4" w:color="auto"/>
        </w:pBdr>
        <w:overflowPunct w:val="0"/>
        <w:spacing w:line="610" w:lineRule="exact"/>
        <w:jc w:val="center"/>
        <w:rPr>
          <w:rFonts w:ascii="Times New Roman" w:eastAsia="仿宋" w:hAnsi="Times New Roman" w:cs="仿宋"/>
          <w:bCs/>
          <w:sz w:val="30"/>
          <w:szCs w:val="30"/>
        </w:rPr>
      </w:pPr>
      <w:bookmarkStart w:id="131" w:name="_Toc3541"/>
      <w:bookmarkStart w:id="132" w:name="_Toc4985"/>
    </w:p>
    <w:p w:rsidR="001328A6" w:rsidRDefault="007F3236">
      <w:pPr>
        <w:pBdr>
          <w:top w:val="none" w:sz="0" w:space="1" w:color="auto"/>
          <w:left w:val="none" w:sz="0" w:space="4" w:color="auto"/>
          <w:bottom w:val="none" w:sz="0" w:space="1" w:color="auto"/>
          <w:right w:val="none" w:sz="0" w:space="4" w:color="auto"/>
        </w:pBdr>
        <w:overflowPunct w:val="0"/>
        <w:spacing w:line="610" w:lineRule="exact"/>
        <w:jc w:val="center"/>
        <w:outlineLvl w:val="2"/>
        <w:rPr>
          <w:rFonts w:ascii="Times New Roman" w:eastAsia="楷体" w:hAnsi="Times New Roman" w:cs="楷体"/>
          <w:bCs/>
          <w:sz w:val="32"/>
          <w:szCs w:val="32"/>
        </w:rPr>
      </w:pPr>
      <w:bookmarkStart w:id="133" w:name="_Toc30496"/>
      <w:r>
        <w:rPr>
          <w:rFonts w:ascii="Times New Roman" w:eastAsia="楷体" w:hAnsi="Times New Roman" w:cs="楷体" w:hint="eastAsia"/>
          <w:bCs/>
          <w:sz w:val="32"/>
          <w:szCs w:val="32"/>
        </w:rPr>
        <w:t>第五节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大力推进工业园区振兴发展</w:t>
      </w:r>
      <w:bookmarkEnd w:id="131"/>
      <w:bookmarkEnd w:id="132"/>
      <w:bookmarkEnd w:id="133"/>
    </w:p>
    <w:p w:rsidR="001328A6" w:rsidRDefault="001328A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推进园区优化升级。全面实施园区提质振兴工程，围绕主导产业上下游引进和建设项目，培育特色产业集群，提升产业链水平，推动产业迈向中高端，积极争创千亿级园区样板。推进园区创新驱动发展，吸引集聚创新资源，加强创新平台建设和科技成果转化，实现由要素驱动向创新驱动转变，努力把园区建设成为新型工业化的引领区、高水平营商环境的示范区、大众创业万众创新的集聚区。</w:t>
      </w:r>
      <w:r>
        <w:rPr>
          <w:rFonts w:ascii="Times New Roman" w:eastAsia="仿宋" w:hAnsi="Times New Roman" w:cs="仿宋" w:hint="eastAsia"/>
          <w:bCs/>
          <w:color w:val="000000" w:themeColor="text1"/>
          <w:sz w:val="30"/>
          <w:szCs w:val="30"/>
        </w:rPr>
        <w:lastRenderedPageBreak/>
        <w:t>加快园区基础设施建设，补齐道路、管网、危废处理等短板，推进污水处理厂、蒸汽站等配套基础设施提标扩面，实现园区服务集成、产业集聚、发展集约。</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明确园区发展定位。立足各园区资源禀赋和基础条件，按照协同周边、错位发展的理念，合理规划产业定位和发展重点，推动产业布局的“错位协同”，形成布局合理、错位发展、功能协调的发展格局。</w:t>
      </w:r>
      <w:r>
        <w:rPr>
          <w:rFonts w:ascii="Times New Roman" w:eastAsia="仿宋" w:hAnsi="Times New Roman" w:cs="仿宋" w:hint="eastAsia"/>
          <w:bCs/>
          <w:sz w:val="30"/>
          <w:szCs w:val="30"/>
        </w:rPr>
        <w:t>海勃湾工业园重点改造升级钢铁、玻璃、陶瓷等建材冶金产业，培育壮大装备制造、新能源、大数据、节能环保和新材料等新兴产业，既有焦化企业通过整合重组逐步退出园区。乌达工业园重点发展氯碱化工、精细化工，推动氯碱化工、乙炔化工、有机硅等产业延伸升级，加快发展以工业固废处理为重点的节能环保产业。海南工业园（包括低碳产业园）重点做精、做长煤焦化工、氯碱化工产业链条，加强副产品综合利用，拓展氢能、固废利用等循环链条，加快发展精细化工、生物制药、新材料、新能源、现代物流服务等产业，重点承接全市焦化企业整合搬迁项目。</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提升园区建设运营水平。按照产业转型升级需求，立足各园区整体发展和资源要素优化配置，加大园区基础设施投入，统筹推进水电气、固废处置、集中供热等配套基础设施建设。推行“管委会</w:t>
      </w:r>
      <w:r>
        <w:rPr>
          <w:rFonts w:ascii="Times New Roman" w:eastAsia="仿宋" w:hAnsi="Times New Roman" w:cs="仿宋" w:hint="eastAsia"/>
          <w:bCs/>
          <w:color w:val="000000" w:themeColor="text1"/>
          <w:sz w:val="30"/>
          <w:szCs w:val="30"/>
        </w:rPr>
        <w:t>+</w:t>
      </w:r>
      <w:r>
        <w:rPr>
          <w:rFonts w:ascii="Times New Roman" w:eastAsia="仿宋" w:hAnsi="Times New Roman" w:cs="仿宋" w:hint="eastAsia"/>
          <w:bCs/>
          <w:color w:val="000000" w:themeColor="text1"/>
          <w:sz w:val="30"/>
          <w:szCs w:val="30"/>
        </w:rPr>
        <w:t>公司”模式，发挥企业市场主体作用，实现园区基础设施市场化运营。探索建立园区高效运行管理机制，创新基础设施投融资体制，建立以投资强度、环境容量、单位能耗、产出效益等指标为导向的项目入园标准体系。建立园区企业退出制度，推动园区企业转型发</w:t>
      </w:r>
      <w:r>
        <w:rPr>
          <w:rFonts w:ascii="Times New Roman" w:eastAsia="仿宋" w:hAnsi="Times New Roman" w:cs="仿宋" w:hint="eastAsia"/>
          <w:bCs/>
          <w:color w:val="000000" w:themeColor="text1"/>
          <w:sz w:val="30"/>
          <w:szCs w:val="30"/>
        </w:rPr>
        <w:lastRenderedPageBreak/>
        <w:t>展，倒逼园区处置低效用地，提高园区单位容积率、投入强度和产出效率。</w:t>
      </w:r>
    </w:p>
    <w:p w:rsidR="001328A6" w:rsidRDefault="001328A6">
      <w:pPr>
        <w:pBdr>
          <w:top w:val="none" w:sz="0" w:space="1" w:color="auto"/>
          <w:left w:val="none" w:sz="0" w:space="4" w:color="auto"/>
          <w:bottom w:val="none" w:sz="0" w:space="1" w:color="auto"/>
          <w:right w:val="none" w:sz="0" w:space="4" w:color="auto"/>
        </w:pBdr>
        <w:overflowPunct w:val="0"/>
        <w:spacing w:line="558" w:lineRule="exact"/>
        <w:ind w:firstLineChars="200" w:firstLine="624"/>
        <w:rPr>
          <w:rFonts w:ascii="Times New Roman" w:eastAsia="仿宋" w:hAnsi="Times New Roman" w:cs="仿宋"/>
          <w:bCs/>
          <w:snapToGrid w:val="0"/>
          <w:spacing w:val="6"/>
          <w:kern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1"/>
        <w:rPr>
          <w:rFonts w:ascii="Times New Roman" w:eastAsia="黑体" w:hAnsi="Times New Roman" w:cs="黑体"/>
          <w:bCs/>
          <w:sz w:val="32"/>
          <w:szCs w:val="32"/>
        </w:rPr>
      </w:pPr>
      <w:bookmarkStart w:id="134" w:name="_Toc7301"/>
      <w:bookmarkStart w:id="135" w:name="_Toc31646"/>
      <w:r>
        <w:rPr>
          <w:rFonts w:ascii="Times New Roman" w:eastAsia="黑体" w:hAnsi="Times New Roman" w:cs="黑体" w:hint="eastAsia"/>
          <w:bCs/>
          <w:sz w:val="32"/>
          <w:szCs w:val="32"/>
        </w:rPr>
        <w:t>第八章增强新生引擎推动新兴产业规模化成长</w:t>
      </w:r>
      <w:bookmarkEnd w:id="134"/>
      <w:bookmarkEnd w:id="135"/>
    </w:p>
    <w:p w:rsidR="001328A6" w:rsidRDefault="001328A6">
      <w:pPr>
        <w:overflowPunct w:val="0"/>
        <w:spacing w:line="558" w:lineRule="exact"/>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jc w:val="left"/>
        <w:rPr>
          <w:rFonts w:ascii="Times New Roman" w:eastAsia="仿宋" w:hAnsi="Times New Roman" w:cs="仿宋"/>
          <w:bCs/>
          <w:sz w:val="30"/>
          <w:szCs w:val="30"/>
        </w:rPr>
      </w:pPr>
      <w:r>
        <w:rPr>
          <w:rFonts w:ascii="Times New Roman" w:eastAsia="仿宋" w:hAnsi="Times New Roman" w:cs="仿宋" w:hint="eastAsia"/>
          <w:bCs/>
          <w:snapToGrid w:val="0"/>
          <w:kern w:val="0"/>
          <w:sz w:val="30"/>
          <w:szCs w:val="30"/>
        </w:rPr>
        <w:t>围绕优势资</w:t>
      </w:r>
      <w:r>
        <w:rPr>
          <w:rFonts w:ascii="Times New Roman" w:eastAsia="仿宋" w:hAnsi="Times New Roman" w:cs="仿宋" w:hint="eastAsia"/>
          <w:bCs/>
          <w:snapToGrid w:val="0"/>
          <w:spacing w:val="6"/>
          <w:kern w:val="0"/>
          <w:sz w:val="30"/>
          <w:szCs w:val="30"/>
        </w:rPr>
        <w:t>源开发转化、现有产业延伸耦合、主导产业衍生配套和承接产业转移等多种路径，加快引进和培育新技术、新业态和新模式，大力发展产业基础好、技术支撑强、发展潜力大的新兴产业，加快形成梯次产业发展体系，促进新兴产业规模快速扩张，使新兴产业尽快成为产业转型和结构优化的重要引擎。</w:t>
      </w:r>
    </w:p>
    <w:p w:rsidR="001328A6" w:rsidRDefault="001328A6">
      <w:pPr>
        <w:pBdr>
          <w:top w:val="none" w:sz="0" w:space="1" w:color="auto"/>
          <w:left w:val="none" w:sz="0" w:space="4" w:color="auto"/>
          <w:bottom w:val="none" w:sz="0" w:space="1" w:color="auto"/>
          <w:right w:val="none" w:sz="0" w:space="4" w:color="auto"/>
        </w:pBdr>
        <w:overflowPunct w:val="0"/>
        <w:spacing w:line="610" w:lineRule="exact"/>
        <w:jc w:val="center"/>
        <w:rPr>
          <w:rFonts w:ascii="Times New Roman" w:eastAsia="仿宋" w:hAnsi="Times New Roman" w:cs="仿宋"/>
          <w:bCs/>
          <w:sz w:val="30"/>
          <w:szCs w:val="30"/>
        </w:rPr>
      </w:pPr>
      <w:bookmarkStart w:id="136" w:name="_Toc21882"/>
    </w:p>
    <w:p w:rsidR="001328A6" w:rsidRDefault="007F3236">
      <w:pPr>
        <w:pBdr>
          <w:top w:val="none" w:sz="0" w:space="1" w:color="auto"/>
          <w:left w:val="none" w:sz="0" w:space="4" w:color="auto"/>
          <w:bottom w:val="none" w:sz="0" w:space="1" w:color="auto"/>
          <w:right w:val="none" w:sz="0" w:space="4" w:color="auto"/>
        </w:pBdr>
        <w:overflowPunct w:val="0"/>
        <w:spacing w:line="610" w:lineRule="exact"/>
        <w:jc w:val="center"/>
        <w:outlineLvl w:val="2"/>
        <w:rPr>
          <w:rFonts w:ascii="Times New Roman" w:eastAsia="楷体" w:hAnsi="Times New Roman" w:cs="楷体"/>
          <w:bCs/>
          <w:sz w:val="32"/>
          <w:szCs w:val="32"/>
        </w:rPr>
      </w:pPr>
      <w:bookmarkStart w:id="137" w:name="_Toc29620"/>
      <w:r>
        <w:rPr>
          <w:rFonts w:ascii="Times New Roman" w:eastAsia="楷体" w:hAnsi="Times New Roman" w:cs="楷体" w:hint="eastAsia"/>
          <w:bCs/>
          <w:sz w:val="32"/>
          <w:szCs w:val="32"/>
        </w:rPr>
        <w:t>第一节发展现代能源经济</w:t>
      </w:r>
      <w:bookmarkEnd w:id="136"/>
      <w:bookmarkEnd w:id="137"/>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sz w:val="30"/>
          <w:szCs w:val="30"/>
        </w:rPr>
        <w:t>巩固提升煤电能源基础。进一步规范煤炭、电力基地建设，根据煤炭资源禀赋条件和矿业权设置情况，积极推进煤矿、洗煤整合重组工作，合理控制煤炭开发强度，提升煤炭就地转化率，去除低效产能。加强自有煤炭资源的普查勘察和保护性开发、绿色开发。积极推广充填式、智能化开采等新技术，积极推进与周边地区能源开发合作，加大市外煤炭资源利用力度，构建长期稳定的煤炭供应链。推动煤炭洗选和低热值煤发电企业加快技术改造和工艺更新，实现煤炭分级分质清洁利用。实施智能化煤矿建设和智能电网改造项目，争取存在较大安全风险的煤矿实现智能化管理。</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snapToGrid w:val="0"/>
          <w:kern w:val="0"/>
          <w:sz w:val="30"/>
          <w:szCs w:val="30"/>
        </w:rPr>
        <w:lastRenderedPageBreak/>
        <w:t>推动新能源融合发展。推进煤矿与新能源有效衔接，利用矿山复垦和新能源优惠政策，按照集中式和分布式能源并重、上网外送和示范自用并举的方针，在采煤沉陷区、露天排土场、荒漠等区域合理布局建设光伏电站，通过配套化学储能、电解水制氢等能源综合利用类项目，消纳上网富余电量和“弃电”，实现电力能源转化增值。配套发展硅产业，支持京运通新材料产业园（二期）等项目建设。</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napToGrid w:val="0"/>
          <w:spacing w:val="6"/>
          <w:kern w:val="0"/>
          <w:sz w:val="30"/>
          <w:szCs w:val="30"/>
        </w:rPr>
      </w:pPr>
      <w:r>
        <w:rPr>
          <w:rFonts w:ascii="Times New Roman" w:eastAsia="仿宋" w:hAnsi="Times New Roman" w:cs="仿宋" w:hint="eastAsia"/>
          <w:bCs/>
          <w:snapToGrid w:val="0"/>
          <w:kern w:val="0"/>
          <w:sz w:val="30"/>
          <w:szCs w:val="30"/>
        </w:rPr>
        <w:t>着力打造国家级氢能源研发、生产及应用示范市。立足煤焦化工和氯碱化工尾气资源优势，科学布局制氢、储氢、用氢等氢能源产业，实施重点企业工业副产氢综合利用项目，推动氢气制备及储存等项</w:t>
      </w:r>
      <w:r>
        <w:rPr>
          <w:rFonts w:ascii="Times New Roman" w:eastAsia="仿宋" w:hAnsi="Times New Roman" w:cs="仿宋" w:hint="eastAsia"/>
          <w:bCs/>
          <w:snapToGrid w:val="0"/>
          <w:spacing w:val="6"/>
          <w:kern w:val="0"/>
          <w:sz w:val="30"/>
          <w:szCs w:val="30"/>
        </w:rPr>
        <w:t>目建设，规划建设氢能源开发项目产业园区，大力发展可再生能源制备氢气产业，积极引进氢燃料电池、氢燃料发动机等项目，配套布局加氢站等基础设施。加快氢燃料电池汽车在公交、环卫等市政用车领域的应用，在采矿、短途运输行业重点推动矿用氢燃料电池替代燃油重卡，建设燃料电池汽车示范城市。与清华大学等国内知名院校深度合作，在制氢、存储、运输、利用，以及天然气掺氢内燃机、天然气管道掺氢等方面加快技术成果转化，积极参与氢燃料电池汽车示范城市群的创建工作。</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napToGrid w:val="0"/>
          <w:spacing w:val="6"/>
          <w:kern w:val="0"/>
          <w:sz w:val="30"/>
          <w:szCs w:val="30"/>
        </w:rPr>
      </w:pPr>
      <w:r>
        <w:rPr>
          <w:rFonts w:ascii="Times New Roman" w:eastAsia="仿宋" w:hAnsi="Times New Roman" w:cs="仿宋" w:hint="eastAsia"/>
          <w:bCs/>
          <w:snapToGrid w:val="0"/>
          <w:kern w:val="0"/>
          <w:sz w:val="30"/>
          <w:szCs w:val="30"/>
        </w:rPr>
        <w:t>推进</w:t>
      </w:r>
      <w:r>
        <w:rPr>
          <w:rFonts w:ascii="Times New Roman" w:eastAsia="仿宋" w:hAnsi="Times New Roman" w:cs="仿宋" w:hint="eastAsia"/>
          <w:bCs/>
          <w:snapToGrid w:val="0"/>
          <w:spacing w:val="6"/>
          <w:kern w:val="0"/>
          <w:sz w:val="30"/>
          <w:szCs w:val="30"/>
        </w:rPr>
        <w:t>抽水蓄能电站建设。发挥黄河海勃湾水利枢纽工程与甘德尔山山水相依优势，将抽水</w:t>
      </w:r>
      <w:r>
        <w:rPr>
          <w:rFonts w:ascii="Times New Roman" w:eastAsia="仿宋" w:hAnsi="Times New Roman" w:cs="仿宋" w:hint="eastAsia"/>
          <w:bCs/>
          <w:color w:val="000000"/>
          <w:spacing w:val="6"/>
          <w:sz w:val="30"/>
          <w:szCs w:val="30"/>
        </w:rPr>
        <w:t>蓄能电站建设成为周边地区火电、风电、光电及余热发电等多种能源的“蓄水池”和调整电力结构的“支撑点”，提高新能源发电利用效率，推动“风、光、水、</w:t>
      </w:r>
      <w:r>
        <w:rPr>
          <w:rFonts w:ascii="Times New Roman" w:eastAsia="仿宋" w:hAnsi="Times New Roman" w:cs="仿宋" w:hint="eastAsia"/>
          <w:bCs/>
          <w:color w:val="000000"/>
          <w:spacing w:val="6"/>
          <w:sz w:val="30"/>
          <w:szCs w:val="30"/>
        </w:rPr>
        <w:lastRenderedPageBreak/>
        <w:t>火、氢”协同发展，促进传统能源和新能源产业深度融合，为打造稳定运行的电</w:t>
      </w:r>
      <w:r>
        <w:rPr>
          <w:rFonts w:ascii="Times New Roman" w:eastAsia="仿宋" w:hAnsi="Times New Roman" w:cs="仿宋" w:hint="eastAsia"/>
          <w:bCs/>
          <w:snapToGrid w:val="0"/>
          <w:spacing w:val="6"/>
          <w:kern w:val="0"/>
          <w:sz w:val="30"/>
          <w:szCs w:val="30"/>
        </w:rPr>
        <w:t>网创造条件，构建绿色、友好、智慧、创新的能源生态圈。</w:t>
      </w:r>
    </w:p>
    <w:p w:rsidR="001328A6" w:rsidRDefault="001328A6">
      <w:pPr>
        <w:pStyle w:val="a0"/>
        <w:spacing w:before="0" w:after="0" w:line="240" w:lineRule="exact"/>
        <w:rPr>
          <w:rFonts w:ascii="Times New Roman" w:hAnsi="Times New Roman"/>
        </w:rPr>
      </w:pPr>
    </w:p>
    <w:tbl>
      <w:tblPr>
        <w:tblpPr w:leftFromText="180" w:rightFromText="180" w:vertAnchor="text" w:horzAnchor="page" w:tblpX="1818" w:tblpY="5"/>
        <w:tblOverlap w:val="never"/>
        <w:tblW w:w="8735" w:type="dxa"/>
        <w:tblBorders>
          <w:top w:val="single" w:sz="4" w:space="0" w:color="auto"/>
          <w:left w:val="single" w:sz="4" w:space="0" w:color="auto"/>
          <w:bottom w:val="single" w:sz="4" w:space="0" w:color="auto"/>
          <w:right w:val="single" w:sz="4" w:space="0" w:color="auto"/>
        </w:tblBorders>
        <w:tblLayout w:type="fixed"/>
        <w:tblLook w:val="04A0"/>
      </w:tblPr>
      <w:tblGrid>
        <w:gridCol w:w="8735"/>
      </w:tblGrid>
      <w:tr w:rsidR="001328A6">
        <w:trPr>
          <w:trHeight w:val="560"/>
        </w:trPr>
        <w:tc>
          <w:tcPr>
            <w:tcW w:w="8735" w:type="dxa"/>
            <w:tcBorders>
              <w:top w:val="single" w:sz="4" w:space="0" w:color="auto"/>
              <w:left w:val="single" w:sz="4" w:space="0" w:color="auto"/>
              <w:bottom w:val="single" w:sz="4" w:space="0" w:color="auto"/>
              <w:right w:val="single" w:sz="4" w:space="0" w:color="auto"/>
            </w:tcBorders>
          </w:tcPr>
          <w:p w:rsidR="001328A6" w:rsidRDefault="007F3236">
            <w:pPr>
              <w:pBdr>
                <w:top w:val="none" w:sz="0" w:space="1" w:color="auto"/>
                <w:left w:val="none" w:sz="0" w:space="4" w:color="auto"/>
                <w:bottom w:val="none" w:sz="0" w:space="1" w:color="auto"/>
                <w:right w:val="none" w:sz="0" w:space="4" w:color="auto"/>
              </w:pBdr>
              <w:overflowPunct w:val="0"/>
              <w:spacing w:line="480" w:lineRule="exact"/>
              <w:jc w:val="center"/>
              <w:rPr>
                <w:rFonts w:ascii="Times New Roman" w:eastAsia="宋体" w:hAnsi="Times New Roman" w:cs="Times New Roman"/>
                <w:bCs/>
                <w:kern w:val="0"/>
                <w:sz w:val="32"/>
                <w:szCs w:val="32"/>
              </w:rPr>
            </w:pPr>
            <w:r>
              <w:rPr>
                <w:rFonts w:ascii="Times New Roman" w:hAnsi="Times New Roman" w:cstheme="minorEastAsia" w:hint="eastAsia"/>
                <w:b/>
                <w:color w:val="000000" w:themeColor="text1"/>
                <w:sz w:val="24"/>
                <w:szCs w:val="24"/>
              </w:rPr>
              <w:t>专栏</w:t>
            </w:r>
            <w:r>
              <w:rPr>
                <w:rFonts w:ascii="Times New Roman" w:hAnsi="Times New Roman" w:cstheme="minorEastAsia" w:hint="eastAsia"/>
                <w:b/>
                <w:color w:val="000000" w:themeColor="text1"/>
                <w:sz w:val="24"/>
                <w:szCs w:val="24"/>
              </w:rPr>
              <w:t xml:space="preserve">5  </w:t>
            </w:r>
            <w:r>
              <w:rPr>
                <w:rFonts w:ascii="Times New Roman" w:hAnsi="Times New Roman" w:cstheme="minorEastAsia" w:hint="eastAsia"/>
                <w:b/>
                <w:color w:val="000000" w:themeColor="text1"/>
                <w:sz w:val="24"/>
                <w:szCs w:val="24"/>
              </w:rPr>
              <w:t>现代能源产业巩固提升重点方向</w:t>
            </w:r>
          </w:p>
        </w:tc>
      </w:tr>
      <w:tr w:rsidR="001328A6">
        <w:tc>
          <w:tcPr>
            <w:tcW w:w="8735" w:type="dxa"/>
            <w:tcBorders>
              <w:top w:val="single" w:sz="4" w:space="0" w:color="auto"/>
              <w:left w:val="single" w:sz="4" w:space="0" w:color="auto"/>
              <w:bottom w:val="single" w:sz="4" w:space="0" w:color="auto"/>
              <w:right w:val="single" w:sz="4" w:space="0" w:color="auto"/>
            </w:tcBorders>
          </w:tcPr>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hAnsi="Times New Roman" w:cs="Times New Roman"/>
                <w:bCs/>
              </w:rPr>
            </w:pPr>
            <w:r>
              <w:rPr>
                <w:rFonts w:ascii="Times New Roman" w:hAnsi="Times New Roman" w:cs="Times New Roman"/>
                <w:bCs/>
                <w:sz w:val="24"/>
                <w:szCs w:val="24"/>
              </w:rPr>
              <w:t>巩固提升现有火电水平，加快储能、清洁能源等多种能源协同互补项目建设，提升现有工业副产品综合利用制氢规模，引进掌握核心技术的企业开展新能源制氢，配套发展氢能源装备制造产业，布局建设加氢设施，拓展氢燃料电池汽车应用场景，推进氢能产业集群式发展。</w:t>
            </w:r>
          </w:p>
        </w:tc>
      </w:tr>
    </w:tbl>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楷体_GB2312" w:hAnsi="Times New Roman" w:cs="Times New Roman"/>
          <w:bCs/>
          <w:sz w:val="32"/>
          <w:szCs w:val="32"/>
        </w:rPr>
      </w:pPr>
      <w:bookmarkStart w:id="138" w:name="_Toc11648"/>
    </w:p>
    <w:p w:rsidR="001328A6" w:rsidRDefault="007F3236">
      <w:pPr>
        <w:pBdr>
          <w:top w:val="none" w:sz="0" w:space="1" w:color="auto"/>
          <w:left w:val="none" w:sz="0" w:space="4" w:color="auto"/>
          <w:bottom w:val="none" w:sz="0" w:space="1" w:color="auto"/>
          <w:right w:val="none" w:sz="0" w:space="4" w:color="auto"/>
        </w:pBdr>
        <w:overflowPunct w:val="0"/>
        <w:spacing w:line="610" w:lineRule="exact"/>
        <w:jc w:val="center"/>
        <w:outlineLvl w:val="2"/>
        <w:rPr>
          <w:rFonts w:ascii="Times New Roman" w:eastAsia="楷体" w:hAnsi="Times New Roman" w:cs="楷体"/>
          <w:bCs/>
          <w:sz w:val="32"/>
          <w:szCs w:val="32"/>
        </w:rPr>
      </w:pPr>
      <w:bookmarkStart w:id="139" w:name="_Toc15084"/>
      <w:r>
        <w:rPr>
          <w:rFonts w:ascii="Times New Roman" w:eastAsia="楷体" w:hAnsi="Times New Roman" w:cs="楷体"/>
          <w:bCs/>
          <w:sz w:val="32"/>
          <w:szCs w:val="32"/>
        </w:rPr>
        <w:t>第二节</w:t>
      </w:r>
      <w:r>
        <w:rPr>
          <w:rFonts w:ascii="Times New Roman" w:eastAsia="楷体" w:hAnsi="Times New Roman" w:cs="楷体"/>
          <w:bCs/>
          <w:sz w:val="32"/>
          <w:szCs w:val="32"/>
        </w:rPr>
        <w:t xml:space="preserve"> </w:t>
      </w:r>
      <w:r>
        <w:rPr>
          <w:rFonts w:ascii="Times New Roman" w:eastAsia="楷体" w:hAnsi="Times New Roman" w:cs="楷体"/>
          <w:bCs/>
          <w:sz w:val="32"/>
          <w:szCs w:val="32"/>
        </w:rPr>
        <w:t>大力发展新材料产业</w:t>
      </w:r>
      <w:bookmarkEnd w:id="138"/>
      <w:bookmarkEnd w:id="139"/>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40"/>
        <w:rPr>
          <w:rFonts w:ascii="Times New Roman" w:eastAsia="仿宋_GB2312" w:hAnsi="Times New Roman" w:cs="Times New Roman"/>
          <w:bCs/>
          <w:sz w:val="32"/>
          <w:szCs w:val="32"/>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仿宋" w:eastAsia="仿宋" w:hAnsi="仿宋" w:cs="仿宋"/>
          <w:bCs/>
          <w:snapToGrid w:val="0"/>
          <w:kern w:val="0"/>
          <w:sz w:val="30"/>
          <w:szCs w:val="30"/>
        </w:rPr>
      </w:pPr>
      <w:r>
        <w:rPr>
          <w:rFonts w:ascii="仿宋" w:eastAsia="仿宋" w:hAnsi="仿宋" w:cs="仿宋" w:hint="eastAsia"/>
          <w:bCs/>
          <w:sz w:val="30"/>
          <w:szCs w:val="30"/>
        </w:rPr>
        <w:t>加快发展化工新材料。</w:t>
      </w:r>
      <w:r>
        <w:rPr>
          <w:rFonts w:ascii="仿宋" w:eastAsia="仿宋" w:hAnsi="仿宋" w:cs="仿宋" w:hint="eastAsia"/>
          <w:bCs/>
          <w:snapToGrid w:val="0"/>
          <w:kern w:val="0"/>
          <w:sz w:val="30"/>
          <w:szCs w:val="30"/>
        </w:rPr>
        <w:t>发挥乌海及周边地区煤焦、氯碱、乙炔、盐硝、氟硅等多类化工产业集聚及副产品集中的优势，通过新技术研发和引进，打通产业链条融合路径，建设一批延链补链和上下游配套项目，构建多种化工耦合发展的合成树脂、合成纤维、合成橡胶、氟硅材料等新材料产业链。</w:t>
      </w:r>
      <w:r>
        <w:rPr>
          <w:rFonts w:ascii="仿宋" w:eastAsia="仿宋" w:hAnsi="仿宋" w:cs="仿宋" w:hint="eastAsia"/>
          <w:bCs/>
          <w:color w:val="000000"/>
          <w:kern w:val="0"/>
          <w:sz w:val="30"/>
          <w:szCs w:val="30"/>
        </w:rPr>
        <w:t>引导具备条件的企业加大军民融合力度，促进化工产业层次向高性能新材料跃升，加快形成全要素、全领域、高效益的军民融合深度发展格局</w:t>
      </w:r>
      <w:r>
        <w:rPr>
          <w:rFonts w:ascii="仿宋" w:eastAsia="仿宋" w:hAnsi="仿宋" w:cs="仿宋" w:hint="eastAsia"/>
          <w:bCs/>
          <w:snapToGrid w:val="0"/>
          <w:kern w:val="0"/>
          <w:sz w:val="30"/>
          <w:szCs w:val="30"/>
        </w:rPr>
        <w:t>。</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仿宋" w:eastAsia="仿宋" w:hAnsi="仿宋" w:cs="仿宋"/>
          <w:bCs/>
          <w:sz w:val="30"/>
          <w:szCs w:val="30"/>
        </w:rPr>
      </w:pPr>
      <w:r>
        <w:rPr>
          <w:rFonts w:ascii="仿宋" w:eastAsia="仿宋" w:hAnsi="仿宋" w:cs="仿宋" w:hint="eastAsia"/>
          <w:bCs/>
          <w:sz w:val="30"/>
          <w:szCs w:val="30"/>
        </w:rPr>
        <w:t>积极构建碳材料产业链。</w:t>
      </w:r>
      <w:r>
        <w:rPr>
          <w:rFonts w:ascii="仿宋" w:eastAsia="仿宋" w:hAnsi="仿宋" w:cs="仿宋" w:hint="eastAsia"/>
          <w:bCs/>
          <w:snapToGrid w:val="0"/>
          <w:kern w:val="0"/>
          <w:sz w:val="30"/>
          <w:szCs w:val="30"/>
        </w:rPr>
        <w:t>推进针状焦扩能扩产，推动向负极材料前驱体、锂电池负极材料、通用级沥青基碳纤维等产业链延伸。实施炭素石墨新材料、锂电池和硅碳基复合负极材料、碳纤维等项目，推进新型碳材料一体化发展，打造形成碳材料产业链。</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仿宋" w:eastAsia="仿宋" w:hAnsi="仿宋" w:cs="仿宋"/>
          <w:bCs/>
          <w:snapToGrid w:val="0"/>
          <w:kern w:val="0"/>
          <w:sz w:val="30"/>
          <w:szCs w:val="30"/>
        </w:rPr>
      </w:pPr>
      <w:r>
        <w:rPr>
          <w:rFonts w:ascii="仿宋" w:eastAsia="仿宋" w:hAnsi="仿宋" w:cs="仿宋" w:hint="eastAsia"/>
          <w:bCs/>
          <w:snapToGrid w:val="0"/>
          <w:kern w:val="0"/>
          <w:sz w:val="30"/>
          <w:szCs w:val="30"/>
        </w:rPr>
        <w:lastRenderedPageBreak/>
        <w:t>发展壮大非金属新材料。推进硅砂资源综合利用技术研发和产业化，研制生产节能、保温、耐火、防渗等新型绿色建材。加快风积沙、陶瓷的应用技术研发，重点开发风积沙建筑保温涂料、节能保温隔热材料、陶瓷基体材料、耐磨器件用陶瓷材料、高性能玻纤材料。</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仿宋" w:eastAsia="仿宋" w:hAnsi="仿宋" w:cs="仿宋"/>
          <w:bCs/>
          <w:snapToGrid w:val="0"/>
          <w:kern w:val="0"/>
          <w:sz w:val="30"/>
          <w:szCs w:val="30"/>
        </w:rPr>
      </w:pPr>
      <w:r>
        <w:rPr>
          <w:rFonts w:ascii="仿宋" w:eastAsia="仿宋" w:hAnsi="仿宋" w:cs="仿宋" w:hint="eastAsia"/>
          <w:bCs/>
          <w:snapToGrid w:val="0"/>
          <w:kern w:val="0"/>
          <w:sz w:val="30"/>
          <w:szCs w:val="30"/>
        </w:rPr>
        <w:t>延伸提质特色冶金产业。引进下游高端产品加工制造企业，提升冶金上下游产业配套水平，增强行业整体竞争力。</w:t>
      </w:r>
      <w:r>
        <w:rPr>
          <w:rFonts w:ascii="仿宋" w:eastAsia="仿宋" w:hAnsi="仿宋" w:cs="仿宋" w:hint="eastAsia"/>
          <w:bCs/>
          <w:color w:val="000000" w:themeColor="text1"/>
          <w:sz w:val="30"/>
          <w:szCs w:val="30"/>
        </w:rPr>
        <w:t>加快焦钢联产</w:t>
      </w:r>
      <w:r>
        <w:rPr>
          <w:rFonts w:ascii="仿宋" w:eastAsia="仿宋" w:hAnsi="仿宋" w:cs="仿宋" w:hint="eastAsia"/>
          <w:bCs/>
          <w:snapToGrid w:val="0"/>
          <w:kern w:val="0"/>
          <w:sz w:val="30"/>
          <w:szCs w:val="30"/>
        </w:rPr>
        <w:t>等项目建设，积极</w:t>
      </w:r>
      <w:r>
        <w:rPr>
          <w:rFonts w:ascii="仿宋" w:eastAsia="仿宋" w:hAnsi="仿宋" w:cs="仿宋" w:hint="eastAsia"/>
          <w:bCs/>
          <w:color w:val="000000" w:themeColor="text1"/>
          <w:sz w:val="30"/>
          <w:szCs w:val="30"/>
        </w:rPr>
        <w:t>推广氢基熔融还原冶炼技术，</w:t>
      </w:r>
      <w:r>
        <w:rPr>
          <w:rFonts w:ascii="仿宋" w:eastAsia="仿宋" w:hAnsi="仿宋" w:cs="仿宋" w:hint="eastAsia"/>
          <w:bCs/>
          <w:snapToGrid w:val="0"/>
          <w:kern w:val="0"/>
          <w:sz w:val="30"/>
          <w:szCs w:val="30"/>
        </w:rPr>
        <w:t>开发生产特种钢、优质钢、精品钢、合金钢、高强钢筋、H型钢等产品，提升产业产品层次，</w:t>
      </w:r>
      <w:r>
        <w:rPr>
          <w:rFonts w:ascii="仿宋" w:eastAsia="仿宋" w:hAnsi="仿宋" w:cs="仿宋" w:hint="eastAsia"/>
          <w:bCs/>
          <w:color w:val="000000" w:themeColor="text1"/>
          <w:sz w:val="30"/>
          <w:szCs w:val="30"/>
        </w:rPr>
        <w:t>推进特色冶金延伸提质</w:t>
      </w:r>
      <w:r>
        <w:rPr>
          <w:rFonts w:ascii="仿宋" w:eastAsia="仿宋" w:hAnsi="仿宋" w:cs="仿宋" w:hint="eastAsia"/>
          <w:bCs/>
          <w:snapToGrid w:val="0"/>
          <w:kern w:val="0"/>
          <w:sz w:val="30"/>
          <w:szCs w:val="30"/>
        </w:rPr>
        <w:t>。</w:t>
      </w:r>
    </w:p>
    <w:p w:rsidR="001328A6" w:rsidRDefault="001328A6">
      <w:pPr>
        <w:pStyle w:val="a0"/>
        <w:spacing w:before="0" w:after="0" w:line="240" w:lineRule="exact"/>
        <w:rPr>
          <w:rFonts w:ascii="Times New Roman" w:hAnsi="Times New Roman"/>
          <w:sz w:val="28"/>
          <w:szCs w:val="28"/>
        </w:rPr>
      </w:pPr>
    </w:p>
    <w:tbl>
      <w:tblPr>
        <w:tblW w:w="873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735"/>
      </w:tblGrid>
      <w:tr w:rsidR="001328A6">
        <w:trPr>
          <w:trHeight w:val="510"/>
          <w:jc w:val="center"/>
        </w:trPr>
        <w:tc>
          <w:tcPr>
            <w:tcW w:w="8735" w:type="dxa"/>
            <w:tcBorders>
              <w:top w:val="single" w:sz="4" w:space="0" w:color="auto"/>
              <w:left w:val="single" w:sz="4" w:space="0" w:color="auto"/>
              <w:bottom w:val="single" w:sz="4" w:space="0" w:color="auto"/>
              <w:right w:val="single" w:sz="4" w:space="0" w:color="auto"/>
            </w:tcBorders>
          </w:tcPr>
          <w:p w:rsidR="001328A6" w:rsidRDefault="007F3236">
            <w:pPr>
              <w:pBdr>
                <w:top w:val="none" w:sz="0" w:space="1" w:color="auto"/>
                <w:left w:val="none" w:sz="0" w:space="4" w:color="auto"/>
                <w:bottom w:val="none" w:sz="0" w:space="1" w:color="auto"/>
                <w:right w:val="none" w:sz="0" w:space="4" w:color="auto"/>
              </w:pBdr>
              <w:overflowPunct w:val="0"/>
              <w:spacing w:line="480" w:lineRule="exact"/>
              <w:jc w:val="center"/>
              <w:rPr>
                <w:rFonts w:ascii="Times New Roman" w:hAnsi="Times New Roman" w:cstheme="minorEastAsia"/>
                <w:b/>
                <w:kern w:val="0"/>
                <w:sz w:val="28"/>
                <w:szCs w:val="28"/>
              </w:rPr>
            </w:pPr>
            <w:r>
              <w:rPr>
                <w:rFonts w:ascii="Times New Roman" w:hAnsi="Times New Roman" w:cstheme="minorEastAsia" w:hint="eastAsia"/>
                <w:b/>
                <w:color w:val="000000" w:themeColor="text1"/>
                <w:sz w:val="24"/>
                <w:szCs w:val="24"/>
              </w:rPr>
              <w:t>专栏</w:t>
            </w:r>
            <w:r>
              <w:rPr>
                <w:rFonts w:ascii="Times New Roman" w:hAnsi="Times New Roman" w:cstheme="minorEastAsia" w:hint="eastAsia"/>
                <w:b/>
                <w:color w:val="000000" w:themeColor="text1"/>
                <w:sz w:val="24"/>
                <w:szCs w:val="24"/>
              </w:rPr>
              <w:t xml:space="preserve">6  </w:t>
            </w:r>
            <w:r>
              <w:rPr>
                <w:rFonts w:ascii="Times New Roman" w:hAnsi="Times New Roman" w:cstheme="minorEastAsia" w:hint="eastAsia"/>
                <w:b/>
                <w:color w:val="000000" w:themeColor="text1"/>
                <w:sz w:val="24"/>
                <w:szCs w:val="24"/>
              </w:rPr>
              <w:t>新材料产业培育重点方向</w:t>
            </w:r>
          </w:p>
        </w:tc>
      </w:tr>
      <w:tr w:rsidR="001328A6">
        <w:trPr>
          <w:jc w:val="center"/>
        </w:trPr>
        <w:tc>
          <w:tcPr>
            <w:tcW w:w="8735" w:type="dxa"/>
            <w:tcBorders>
              <w:top w:val="single" w:sz="4" w:space="0" w:color="auto"/>
              <w:left w:val="single" w:sz="4" w:space="0" w:color="auto"/>
              <w:bottom w:val="single" w:sz="4" w:space="0" w:color="auto"/>
              <w:right w:val="single" w:sz="4" w:space="0" w:color="auto"/>
            </w:tcBorders>
          </w:tcPr>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hAnsi="Times New Roman" w:cs="Times New Roman"/>
                <w:bCs/>
                <w:kern w:val="0"/>
                <w:sz w:val="24"/>
                <w:szCs w:val="24"/>
              </w:rPr>
            </w:pPr>
            <w:r>
              <w:rPr>
                <w:rFonts w:ascii="Times New Roman" w:hAnsi="Times New Roman" w:cs="Times New Roman"/>
                <w:bCs/>
                <w:sz w:val="24"/>
                <w:szCs w:val="24"/>
              </w:rPr>
              <w:t>加快布局和建设化工新材料、碳材料、非金属材料、特色冶金等新材料产业链条项目。</w:t>
            </w:r>
          </w:p>
        </w:tc>
      </w:tr>
    </w:tbl>
    <w:p w:rsidR="001328A6" w:rsidRDefault="001328A6">
      <w:pPr>
        <w:pBdr>
          <w:top w:val="none" w:sz="0" w:space="1" w:color="auto"/>
          <w:left w:val="none" w:sz="0" w:space="4" w:color="auto"/>
          <w:bottom w:val="none" w:sz="0" w:space="1" w:color="auto"/>
          <w:right w:val="none" w:sz="0" w:space="4" w:color="auto"/>
        </w:pBdr>
        <w:overflowPunct w:val="0"/>
        <w:spacing w:line="560" w:lineRule="exact"/>
        <w:jc w:val="center"/>
        <w:rPr>
          <w:rFonts w:ascii="Times New Roman" w:eastAsia="楷体_GB2312" w:hAnsi="Times New Roman" w:cs="Times New Roman"/>
          <w:bCs/>
          <w:sz w:val="32"/>
          <w:szCs w:val="32"/>
        </w:rPr>
      </w:pPr>
      <w:bookmarkStart w:id="140" w:name="_Toc18160"/>
    </w:p>
    <w:p w:rsidR="001328A6" w:rsidRDefault="007F3236">
      <w:pPr>
        <w:pBdr>
          <w:top w:val="none" w:sz="0" w:space="1" w:color="auto"/>
          <w:left w:val="none" w:sz="0" w:space="4" w:color="auto"/>
          <w:bottom w:val="none" w:sz="0" w:space="1" w:color="auto"/>
          <w:right w:val="none" w:sz="0" w:space="4" w:color="auto"/>
        </w:pBdr>
        <w:overflowPunct w:val="0"/>
        <w:spacing w:line="560" w:lineRule="exact"/>
        <w:jc w:val="center"/>
        <w:outlineLvl w:val="2"/>
        <w:rPr>
          <w:rFonts w:ascii="Times New Roman" w:eastAsia="楷体" w:hAnsi="Times New Roman" w:cs="楷体"/>
          <w:bCs/>
          <w:sz w:val="32"/>
          <w:szCs w:val="32"/>
        </w:rPr>
      </w:pPr>
      <w:bookmarkStart w:id="141" w:name="_Toc22091"/>
      <w:r>
        <w:rPr>
          <w:rFonts w:ascii="Times New Roman" w:eastAsia="楷体" w:hAnsi="Times New Roman" w:cs="楷体" w:hint="eastAsia"/>
          <w:bCs/>
          <w:sz w:val="32"/>
          <w:szCs w:val="32"/>
        </w:rPr>
        <w:t>第三节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扩大装备制造业规模</w:t>
      </w:r>
      <w:bookmarkEnd w:id="140"/>
      <w:bookmarkEnd w:id="141"/>
    </w:p>
    <w:p w:rsidR="001328A6" w:rsidRDefault="001328A6">
      <w:pPr>
        <w:pBdr>
          <w:top w:val="none" w:sz="0" w:space="1" w:color="auto"/>
          <w:left w:val="none" w:sz="0" w:space="4" w:color="auto"/>
          <w:bottom w:val="none" w:sz="0" w:space="1" w:color="auto"/>
          <w:right w:val="none" w:sz="0" w:space="4" w:color="auto"/>
        </w:pBdr>
        <w:overflowPunct w:val="0"/>
        <w:spacing w:line="560" w:lineRule="exact"/>
        <w:ind w:firstLineChars="200" w:firstLine="640"/>
        <w:rPr>
          <w:rFonts w:ascii="Times New Roman" w:eastAsia="仿宋_GB2312" w:hAnsi="Times New Roman" w:cs="Times New Roman"/>
          <w:bCs/>
          <w:snapToGrid w:val="0"/>
          <w:kern w:val="0"/>
          <w:sz w:val="32"/>
          <w:szCs w:val="32"/>
        </w:rPr>
      </w:pPr>
    </w:p>
    <w:p w:rsidR="001328A6" w:rsidRDefault="007F3236">
      <w:pPr>
        <w:pBdr>
          <w:top w:val="none" w:sz="0" w:space="1" w:color="auto"/>
          <w:left w:val="none" w:sz="0" w:space="4" w:color="auto"/>
          <w:bottom w:val="none" w:sz="0" w:space="1" w:color="auto"/>
          <w:right w:val="none" w:sz="0" w:space="4" w:color="auto"/>
        </w:pBdr>
        <w:overflowPunct w:val="0"/>
        <w:spacing w:line="560"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snapToGrid w:val="0"/>
          <w:kern w:val="0"/>
          <w:sz w:val="30"/>
          <w:szCs w:val="30"/>
        </w:rPr>
        <w:t>推动特色装备制造业升级拓展。围绕区域矿山开采、化工、新能源等产业发展衍生的装备制造业需求，以矿山机械、运输机械、能源机械等为重点开拓发展领域。实施大马力工矿用车、清运车辆等特殊专业运输设备和采煤、洗煤机械项目。加快新能源汽车、新型节能环保专用汽车等项目建设。加快建设装备制造产业园，以园区为载体，以骨干企业为龙头，着力打造特色装备制造产业集群。</w:t>
      </w:r>
    </w:p>
    <w:p w:rsidR="001328A6" w:rsidRDefault="007F3236">
      <w:pPr>
        <w:pBdr>
          <w:top w:val="none" w:sz="0" w:space="1" w:color="auto"/>
          <w:left w:val="none" w:sz="0" w:space="4" w:color="auto"/>
          <w:bottom w:val="none" w:sz="0" w:space="1" w:color="auto"/>
          <w:right w:val="none" w:sz="0" w:space="4" w:color="auto"/>
        </w:pBdr>
        <w:overflowPunct w:val="0"/>
        <w:spacing w:line="56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napToGrid w:val="0"/>
          <w:kern w:val="0"/>
          <w:sz w:val="30"/>
          <w:szCs w:val="30"/>
        </w:rPr>
        <w:lastRenderedPageBreak/>
        <w:t>提升装备配件生产能力。以地区既有装备制造产业为基础，推进重卡零部件资源整合，大力发展新能源汽车、采煤机械、化工机械等装备零部件生产供应，盘活一批既有部件企业资源，加快发展新能源汽车及其零部件配套项目，并向新型电池、新一代电机、电</w:t>
      </w:r>
      <w:r>
        <w:rPr>
          <w:rFonts w:ascii="Times New Roman" w:eastAsia="仿宋" w:hAnsi="Times New Roman" w:cs="仿宋" w:hint="eastAsia"/>
          <w:bCs/>
          <w:snapToGrid w:val="0"/>
          <w:spacing w:val="-6"/>
          <w:kern w:val="0"/>
          <w:sz w:val="30"/>
          <w:szCs w:val="30"/>
        </w:rPr>
        <w:t>子控制系统等关键零部件延伸，建设区域重要的零部件配套供应基地。</w:t>
      </w:r>
      <w:bookmarkStart w:id="142" w:name="_Toc22411"/>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仿宋" w:hAnsi="Times New Roman" w:cs="仿宋"/>
          <w:bCs/>
          <w:sz w:val="30"/>
          <w:szCs w:val="30"/>
        </w:rPr>
      </w:pPr>
      <w:bookmarkStart w:id="143" w:name="_Toc29392"/>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r>
        <w:rPr>
          <w:rFonts w:ascii="Times New Roman" w:eastAsia="楷体" w:hAnsi="Times New Roman" w:cs="楷体" w:hint="eastAsia"/>
          <w:bCs/>
          <w:sz w:val="32"/>
          <w:szCs w:val="32"/>
        </w:rPr>
        <w:t>第四节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积极培育节能环保产业</w:t>
      </w:r>
      <w:bookmarkEnd w:id="142"/>
      <w:bookmarkEnd w:id="143"/>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snapToGrid w:val="0"/>
          <w:kern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snapToGrid w:val="0"/>
          <w:kern w:val="0"/>
          <w:sz w:val="30"/>
          <w:szCs w:val="30"/>
        </w:rPr>
        <w:t>推动节能环保产业破题发展。规划建设环保产业园，围绕乌海及周边地区节能减排降耗及大气、固废和水环境治理的市场需求，研发推广一批高效节能、先进环保和资源循环利用的新装备、新工艺、新产品，着力建设一批大气污染治理、废水无害化处理项目，力求在环保技术和产品研发推广、节能环保设备制造和服务、节能减排和环境治理工程实施等方面取得突破。</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snapToGrid w:val="0"/>
          <w:kern w:val="0"/>
          <w:sz w:val="30"/>
          <w:szCs w:val="30"/>
        </w:rPr>
        <w:t>推广应用节能环保技术和产品。积极推广余热余压利用、高效节能变频技术，加强特色冶金、电力、煤焦化工、氯碱化工等耗能行业节能技术装备研发和重点示范工程建设。应用高效脱硫脱硝、膜处理等环保产业关键技术，开发环保材料和药剂等环境友好型产品，发展膜材料与膜组件、耐高温耐腐蚀袋式除尘滤料、垃圾卫生填埋防渗材料等环保材料。</w:t>
      </w:r>
    </w:p>
    <w:p w:rsidR="001328A6" w:rsidRDefault="007F3236">
      <w:pPr>
        <w:overflowPunct w:val="0"/>
        <w:spacing w:line="580"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snapToGrid w:val="0"/>
          <w:kern w:val="0"/>
          <w:sz w:val="30"/>
          <w:szCs w:val="30"/>
        </w:rPr>
        <w:t>加快发展节能环保装备。把握乌海及周边地区工业转型升级的机遇，坚持培育和引进相结合，根据节能减排和环境治理对装备的</w:t>
      </w:r>
      <w:r>
        <w:rPr>
          <w:rFonts w:ascii="Times New Roman" w:eastAsia="仿宋" w:hAnsi="Times New Roman" w:cs="仿宋" w:hint="eastAsia"/>
          <w:bCs/>
          <w:snapToGrid w:val="0"/>
          <w:kern w:val="0"/>
          <w:sz w:val="30"/>
          <w:szCs w:val="30"/>
        </w:rPr>
        <w:lastRenderedPageBreak/>
        <w:t>需求，大力发展节能环保装备制造业。节能领域重点发展余热、余压和余能回收利用及高效清洁燃烧锅炉等高效节能电器设备。环保领域重点发展燃煤电厂脱硫、脱硝、除尘及超低排放装备，钢铁、有色金属冶炼企业的烟气脱硫技术装备。加快发展水处理装备，开发高浓度难降解工业废水成套处理装备、重金属废水处理装备和中水回用技术装备。</w:t>
      </w:r>
      <w:bookmarkStart w:id="144" w:name="_Toc52108308"/>
    </w:p>
    <w:p w:rsidR="001328A6" w:rsidRDefault="001328A6">
      <w:pPr>
        <w:pStyle w:val="a0"/>
        <w:spacing w:before="0" w:after="0" w:line="580" w:lineRule="exact"/>
        <w:rPr>
          <w:rFonts w:ascii="Times New Roman" w:eastAsia="仿宋" w:hAnsi="Times New Roman" w:cs="仿宋"/>
          <w:sz w:val="30"/>
          <w:szCs w:val="30"/>
        </w:rPr>
      </w:pPr>
    </w:p>
    <w:p w:rsidR="001328A6" w:rsidRDefault="007F3236">
      <w:pPr>
        <w:numPr>
          <w:ilvl w:val="0"/>
          <w:numId w:val="5"/>
        </w:numPr>
        <w:pBdr>
          <w:top w:val="none" w:sz="0" w:space="1" w:color="auto"/>
          <w:left w:val="none" w:sz="0" w:space="4" w:color="auto"/>
          <w:bottom w:val="none" w:sz="0" w:space="1" w:color="auto"/>
          <w:right w:val="none" w:sz="0" w:space="4" w:color="auto"/>
        </w:pBdr>
        <w:overflowPunct w:val="0"/>
        <w:spacing w:line="580" w:lineRule="exact"/>
        <w:jc w:val="center"/>
        <w:outlineLvl w:val="1"/>
        <w:rPr>
          <w:rFonts w:ascii="Times New Roman" w:eastAsia="黑体" w:hAnsi="Times New Roman" w:cs="黑体"/>
          <w:bCs/>
          <w:sz w:val="32"/>
          <w:szCs w:val="32"/>
        </w:rPr>
      </w:pPr>
      <w:bookmarkStart w:id="145" w:name="_Toc14766"/>
      <w:bookmarkStart w:id="146" w:name="_Toc11348"/>
      <w:bookmarkStart w:id="147" w:name="_Toc31526"/>
      <w:bookmarkStart w:id="148" w:name="_Toc2728"/>
      <w:bookmarkStart w:id="149" w:name="_Toc19530"/>
      <w:bookmarkEnd w:id="144"/>
      <w:r>
        <w:rPr>
          <w:rFonts w:ascii="Times New Roman" w:eastAsia="黑体" w:hAnsi="Times New Roman" w:cs="黑体" w:hint="eastAsia"/>
          <w:bCs/>
          <w:sz w:val="32"/>
          <w:szCs w:val="32"/>
        </w:rPr>
        <w:t>发展现代服务业带动生产高效生活</w:t>
      </w:r>
      <w:bookmarkEnd w:id="145"/>
      <w:bookmarkEnd w:id="146"/>
      <w:bookmarkEnd w:id="147"/>
      <w:r>
        <w:rPr>
          <w:rFonts w:ascii="Times New Roman" w:eastAsia="黑体" w:hAnsi="Times New Roman" w:cs="黑体" w:hint="eastAsia"/>
          <w:bCs/>
          <w:sz w:val="32"/>
          <w:szCs w:val="32"/>
        </w:rPr>
        <w:t>提质</w:t>
      </w:r>
      <w:bookmarkEnd w:id="148"/>
      <w:bookmarkEnd w:id="149"/>
    </w:p>
    <w:p w:rsidR="001328A6" w:rsidRDefault="001328A6">
      <w:pPr>
        <w:pStyle w:val="a0"/>
        <w:overflowPunct w:val="0"/>
        <w:spacing w:before="0" w:after="0" w:line="580" w:lineRule="exact"/>
        <w:outlineLvl w:val="9"/>
        <w:rPr>
          <w:rFonts w:ascii="Times New Roman" w:eastAsia="仿宋" w:hAnsi="Times New Roman" w:cs="仿宋"/>
          <w:b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color w:val="000000" w:themeColor="text1"/>
          <w:sz w:val="30"/>
          <w:szCs w:val="30"/>
        </w:rPr>
        <w:t>根据产业转型升级、城市功能提升完善对服务业的需求，</w:t>
      </w:r>
      <w:r>
        <w:rPr>
          <w:rFonts w:ascii="Times New Roman" w:eastAsia="仿宋" w:hAnsi="Times New Roman" w:cs="仿宋" w:hint="eastAsia"/>
          <w:bCs/>
          <w:snapToGrid w:val="0"/>
          <w:kern w:val="0"/>
          <w:sz w:val="30"/>
          <w:szCs w:val="30"/>
        </w:rPr>
        <w:t>大力发展服务型经济，引导企业分离和外包非核心业务，扎实推进现代服务业质量提升、品牌打造、标准树立，努力构建优质高效、布局合理、竞争力强的生产性服务业体系，推动生活性服务业向高品质和多样化升级，不断满足产业转型升级需求和人民美好生活需要，为经济高质量发展提供重要支撑。</w:t>
      </w:r>
    </w:p>
    <w:p w:rsidR="001328A6" w:rsidRDefault="001328A6">
      <w:pPr>
        <w:pBdr>
          <w:top w:val="none" w:sz="0" w:space="1" w:color="auto"/>
          <w:left w:val="none" w:sz="0" w:space="4" w:color="auto"/>
          <w:bottom w:val="none" w:sz="0" w:space="1" w:color="auto"/>
          <w:right w:val="none" w:sz="0" w:space="4" w:color="auto"/>
        </w:pBdr>
        <w:overflowPunct w:val="0"/>
        <w:spacing w:line="558" w:lineRule="exact"/>
        <w:jc w:val="center"/>
        <w:rPr>
          <w:rFonts w:ascii="Times New Roman" w:eastAsia="仿宋" w:hAnsi="Times New Roman" w:cs="仿宋"/>
          <w:bCs/>
          <w:sz w:val="30"/>
          <w:szCs w:val="30"/>
        </w:rPr>
      </w:pPr>
      <w:bookmarkStart w:id="150" w:name="_Toc3957"/>
    </w:p>
    <w:p w:rsidR="001328A6" w:rsidRDefault="007F3236">
      <w:pPr>
        <w:pBdr>
          <w:top w:val="none" w:sz="0" w:space="1" w:color="auto"/>
          <w:left w:val="none" w:sz="0" w:space="4" w:color="auto"/>
          <w:bottom w:val="none" w:sz="0" w:space="1" w:color="auto"/>
          <w:right w:val="none" w:sz="0" w:space="4" w:color="auto"/>
        </w:pBdr>
        <w:overflowPunct w:val="0"/>
        <w:spacing w:line="558" w:lineRule="exact"/>
        <w:jc w:val="center"/>
        <w:outlineLvl w:val="2"/>
        <w:rPr>
          <w:rFonts w:ascii="Times New Roman" w:eastAsia="楷体" w:hAnsi="Times New Roman" w:cs="楷体"/>
          <w:bCs/>
          <w:sz w:val="32"/>
          <w:szCs w:val="32"/>
        </w:rPr>
      </w:pPr>
      <w:bookmarkStart w:id="151" w:name="_Toc493"/>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建设区域物流节点城市</w:t>
      </w:r>
      <w:bookmarkEnd w:id="150"/>
      <w:bookmarkEnd w:id="151"/>
    </w:p>
    <w:p w:rsidR="001328A6" w:rsidRDefault="001328A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snapToGrid w:val="0"/>
          <w:kern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snapToGrid w:val="0"/>
          <w:sz w:val="30"/>
          <w:szCs w:val="30"/>
        </w:rPr>
      </w:pPr>
      <w:r>
        <w:rPr>
          <w:rFonts w:ascii="Times New Roman" w:eastAsia="仿宋" w:hAnsi="Times New Roman" w:cs="仿宋" w:hint="eastAsia"/>
          <w:bCs/>
          <w:snapToGrid w:val="0"/>
          <w:kern w:val="0"/>
          <w:sz w:val="30"/>
          <w:szCs w:val="30"/>
        </w:rPr>
        <w:t>加快建设高效物流体系。进一步优化物流业“软环境”，积极落实国家、自治区和我市出台的物流业降成本措施，应用区块链、大数据等现代供应链管理技术和模式，整合运力资源和车辆服务资源，进一步提高物流效率，促进物流业降本增效。加快建设现代智</w:t>
      </w:r>
      <w:r>
        <w:rPr>
          <w:rFonts w:ascii="Times New Roman" w:eastAsia="仿宋" w:hAnsi="Times New Roman" w:cs="仿宋" w:hint="eastAsia"/>
          <w:bCs/>
          <w:snapToGrid w:val="0"/>
          <w:kern w:val="0"/>
          <w:sz w:val="30"/>
          <w:szCs w:val="30"/>
        </w:rPr>
        <w:lastRenderedPageBreak/>
        <w:t>慧仓储物流园和线上物流服务平台，将我市打造成为西部地区煤炭、焦炭、</w:t>
      </w:r>
      <w:r>
        <w:rPr>
          <w:rFonts w:ascii="Times New Roman" w:eastAsia="仿宋" w:hAnsi="Times New Roman" w:cs="仿宋" w:hint="eastAsia"/>
          <w:bCs/>
          <w:snapToGrid w:val="0"/>
          <w:kern w:val="0"/>
          <w:sz w:val="30"/>
          <w:szCs w:val="30"/>
        </w:rPr>
        <w:t>PVC</w:t>
      </w:r>
      <w:r>
        <w:rPr>
          <w:rFonts w:ascii="Times New Roman" w:eastAsia="仿宋" w:hAnsi="Times New Roman" w:cs="仿宋" w:hint="eastAsia"/>
          <w:bCs/>
          <w:snapToGrid w:val="0"/>
          <w:kern w:val="0"/>
          <w:sz w:val="30"/>
          <w:szCs w:val="30"/>
        </w:rPr>
        <w:t>等大宗商品的转运集散中心、交易中心和物流枢纽。</w:t>
      </w:r>
      <w:r>
        <w:rPr>
          <w:rFonts w:ascii="Times New Roman" w:eastAsia="仿宋" w:hAnsi="Times New Roman" w:cs="仿宋" w:hint="eastAsia"/>
          <w:bCs/>
          <w:snapToGrid w:val="0"/>
          <w:sz w:val="30"/>
          <w:szCs w:val="30"/>
        </w:rPr>
        <w:t>建设大型公、铁、航联运物流园区、甩挂运输基地，大力发展多式联运等先进物流模式，构建面向蒙宁陕甘疆的大宗商品线上线下一体化交易平台、期货交割中心。统筹规划建设空港物流基地，借助陆港的便利条件服务周边企业、铁路和其他陆港，增强乌海国际陆港服务腹地的功能，促进内陆区域外向型经济发展。</w:t>
      </w: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snapToGrid w:val="0"/>
          <w:kern w:val="0"/>
          <w:sz w:val="30"/>
          <w:szCs w:val="30"/>
        </w:rPr>
        <w:t>提升物流企业规模化、集约化水平。</w:t>
      </w:r>
      <w:r>
        <w:rPr>
          <w:rFonts w:ascii="Times New Roman" w:eastAsia="仿宋" w:hAnsi="Times New Roman" w:cs="仿宋" w:hint="eastAsia"/>
          <w:bCs/>
          <w:snapToGrid w:val="0"/>
          <w:sz w:val="30"/>
          <w:szCs w:val="30"/>
        </w:rPr>
        <w:t>鼓励物流企业通过参股控股、兼并重组、协作联盟等方式做大做强，形成几家技术水平先进、主营业务突出、核心竞争力强的大型现代物流企业集团，形成大小物流企业共同发展的良好态势。</w:t>
      </w:r>
      <w:r>
        <w:rPr>
          <w:rFonts w:ascii="Times New Roman" w:eastAsia="仿宋" w:hAnsi="Times New Roman" w:cs="仿宋" w:hint="eastAsia"/>
          <w:bCs/>
          <w:snapToGrid w:val="0"/>
          <w:kern w:val="0"/>
          <w:sz w:val="30"/>
          <w:szCs w:val="30"/>
        </w:rPr>
        <w:t>鼓励流通企业与生产企业合作，建设供应链协同平台，实现需求、库存和物流信息的实时共享。吸引国内外电商平台企业、快递企业在乌海建设区域服务中心、分销中心、分拨中心和仓储中心，着力构建完善便捷的电商物流服务体系。</w:t>
      </w:r>
    </w:p>
    <w:p w:rsidR="001328A6" w:rsidRDefault="001328A6">
      <w:pPr>
        <w:pBdr>
          <w:top w:val="none" w:sz="0" w:space="1" w:color="auto"/>
          <w:left w:val="none" w:sz="0" w:space="4" w:color="auto"/>
          <w:bottom w:val="none" w:sz="0" w:space="1" w:color="auto"/>
          <w:right w:val="none" w:sz="0" w:space="4" w:color="auto"/>
        </w:pBdr>
        <w:overflowPunct w:val="0"/>
        <w:spacing w:line="558" w:lineRule="exact"/>
        <w:jc w:val="center"/>
        <w:rPr>
          <w:rFonts w:ascii="Times New Roman" w:eastAsia="仿宋" w:hAnsi="Times New Roman" w:cs="仿宋"/>
          <w:bCs/>
          <w:sz w:val="30"/>
          <w:szCs w:val="30"/>
        </w:rPr>
      </w:pPr>
      <w:bookmarkStart w:id="152" w:name="_Toc32721"/>
    </w:p>
    <w:p w:rsidR="001328A6" w:rsidRDefault="007F3236">
      <w:pPr>
        <w:pBdr>
          <w:top w:val="none" w:sz="0" w:space="1" w:color="auto"/>
          <w:left w:val="none" w:sz="0" w:space="4" w:color="auto"/>
          <w:bottom w:val="none" w:sz="0" w:space="1" w:color="auto"/>
          <w:right w:val="none" w:sz="0" w:space="4" w:color="auto"/>
        </w:pBdr>
        <w:overflowPunct w:val="0"/>
        <w:spacing w:line="558" w:lineRule="exact"/>
        <w:jc w:val="center"/>
        <w:outlineLvl w:val="2"/>
        <w:rPr>
          <w:rFonts w:ascii="Times New Roman" w:eastAsia="楷体" w:hAnsi="Times New Roman" w:cs="楷体"/>
          <w:bCs/>
          <w:sz w:val="32"/>
          <w:szCs w:val="32"/>
        </w:rPr>
      </w:pPr>
      <w:bookmarkStart w:id="153" w:name="_Toc27966"/>
      <w:r>
        <w:rPr>
          <w:rFonts w:ascii="Times New Roman" w:eastAsia="楷体" w:hAnsi="Times New Roman" w:cs="楷体" w:hint="eastAsia"/>
          <w:bCs/>
          <w:sz w:val="32"/>
          <w:szCs w:val="32"/>
        </w:rPr>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提升金融业服务保障水平</w:t>
      </w:r>
      <w:bookmarkEnd w:id="152"/>
      <w:bookmarkEnd w:id="153"/>
    </w:p>
    <w:p w:rsidR="001328A6" w:rsidRDefault="001328A6">
      <w:pPr>
        <w:pBdr>
          <w:top w:val="none" w:sz="0" w:space="1" w:color="auto"/>
          <w:left w:val="none" w:sz="0" w:space="4" w:color="auto"/>
          <w:bottom w:val="none" w:sz="0" w:space="1" w:color="auto"/>
          <w:right w:val="none" w:sz="0" w:space="4" w:color="auto"/>
        </w:pBdr>
        <w:tabs>
          <w:tab w:val="left" w:pos="8640"/>
        </w:tabs>
        <w:overflowPunct w:val="0"/>
        <w:autoSpaceDE w:val="0"/>
        <w:autoSpaceDN w:val="0"/>
        <w:spacing w:line="558" w:lineRule="exact"/>
        <w:ind w:firstLineChars="200" w:firstLine="600"/>
        <w:rPr>
          <w:rFonts w:ascii="Times New Roman" w:eastAsia="仿宋" w:hAnsi="Times New Roman" w:cs="仿宋"/>
          <w:bCs/>
          <w:snapToGrid w:val="0"/>
          <w:kern w:val="0"/>
          <w:sz w:val="30"/>
          <w:szCs w:val="30"/>
        </w:rPr>
      </w:pPr>
    </w:p>
    <w:p w:rsidR="001328A6" w:rsidRDefault="007F3236">
      <w:pPr>
        <w:pBdr>
          <w:top w:val="none" w:sz="0" w:space="1" w:color="auto"/>
          <w:left w:val="none" w:sz="0" w:space="4" w:color="auto"/>
          <w:bottom w:val="none" w:sz="0" w:space="1" w:color="auto"/>
          <w:right w:val="none" w:sz="0" w:space="4" w:color="auto"/>
        </w:pBdr>
        <w:tabs>
          <w:tab w:val="left" w:pos="8640"/>
        </w:tabs>
        <w:overflowPunct w:val="0"/>
        <w:autoSpaceDE w:val="0"/>
        <w:autoSpaceDN w:val="0"/>
        <w:spacing w:line="558" w:lineRule="exact"/>
        <w:ind w:firstLineChars="200" w:firstLine="600"/>
        <w:rPr>
          <w:rFonts w:ascii="Times New Roman" w:eastAsia="仿宋" w:hAnsi="Times New Roman" w:cs="仿宋"/>
          <w:bCs/>
          <w:sz w:val="30"/>
          <w:szCs w:val="30"/>
          <w:shd w:val="clear" w:color="auto" w:fill="FFFFFF"/>
        </w:rPr>
      </w:pPr>
      <w:r>
        <w:rPr>
          <w:rFonts w:ascii="Times New Roman" w:eastAsia="仿宋" w:hAnsi="Times New Roman" w:cs="仿宋" w:hint="eastAsia"/>
          <w:bCs/>
          <w:snapToGrid w:val="0"/>
          <w:kern w:val="0"/>
          <w:sz w:val="30"/>
          <w:szCs w:val="30"/>
        </w:rPr>
        <w:t>完善金融服务体系。</w:t>
      </w:r>
      <w:r>
        <w:rPr>
          <w:rFonts w:ascii="Times New Roman" w:eastAsia="仿宋" w:hAnsi="Times New Roman" w:cs="仿宋" w:hint="eastAsia"/>
          <w:bCs/>
          <w:sz w:val="30"/>
          <w:szCs w:val="30"/>
        </w:rPr>
        <w:t>鼓励银行、保险、证券、基金公司在我市设立分支机构或开展业务，加大私募股权基金引进力度，构建门类齐全、服务高效、安全稳定、适应实体经济发展需求的金融体系。规范发展融资担保、商业保理、小额贷款、典当行等机构，增强金融普惠性。鼓励地方金融机构做优做强主业，推进乌海银行持续健康发展。</w:t>
      </w:r>
    </w:p>
    <w:p w:rsidR="001328A6" w:rsidRDefault="007F3236">
      <w:pPr>
        <w:pBdr>
          <w:top w:val="none" w:sz="0" w:space="1" w:color="auto"/>
          <w:left w:val="none" w:sz="0" w:space="4" w:color="auto"/>
          <w:bottom w:val="none" w:sz="0" w:space="1" w:color="auto"/>
          <w:right w:val="none" w:sz="0" w:space="4" w:color="auto"/>
        </w:pBdr>
        <w:tabs>
          <w:tab w:val="left" w:pos="8640"/>
        </w:tabs>
        <w:overflowPunct w:val="0"/>
        <w:autoSpaceDE w:val="0"/>
        <w:autoSpaceDN w:val="0"/>
        <w:spacing w:line="580" w:lineRule="exact"/>
        <w:ind w:firstLineChars="200" w:firstLine="600"/>
        <w:rPr>
          <w:rFonts w:ascii="Times New Roman" w:eastAsia="仿宋" w:hAnsi="Times New Roman" w:cs="仿宋"/>
          <w:bCs/>
          <w:strike/>
          <w:color w:val="FF0000"/>
          <w:sz w:val="30"/>
          <w:szCs w:val="30"/>
        </w:rPr>
      </w:pPr>
      <w:r>
        <w:rPr>
          <w:rFonts w:ascii="Times New Roman" w:eastAsia="仿宋" w:hAnsi="Times New Roman" w:cs="仿宋" w:hint="eastAsia"/>
          <w:bCs/>
          <w:snapToGrid w:val="0"/>
          <w:kern w:val="0"/>
          <w:sz w:val="30"/>
          <w:szCs w:val="30"/>
        </w:rPr>
        <w:lastRenderedPageBreak/>
        <w:t>增强对实体经济的金融服务供给。</w:t>
      </w:r>
      <w:r>
        <w:rPr>
          <w:rFonts w:ascii="Times New Roman" w:eastAsia="仿宋" w:hAnsi="Times New Roman" w:cs="仿宋" w:hint="eastAsia"/>
          <w:bCs/>
          <w:sz w:val="30"/>
          <w:szCs w:val="30"/>
        </w:rPr>
        <w:t>聚焦现代能源、新型化工、先进装备制造、新材料、生物医药等战略性新兴产业领域，强化产业政策与信贷政策协调配合，加大对重点建设项目的金融支持力度。优化金融资源配置，支持龙头企业整合产业链与信息链，鼓励融资租赁、商业保理等公司开展供应链金融业务，提高企业融资能力。</w:t>
      </w:r>
    </w:p>
    <w:p w:rsidR="001328A6" w:rsidRDefault="007F3236">
      <w:pPr>
        <w:pBdr>
          <w:top w:val="none" w:sz="0" w:space="1" w:color="auto"/>
          <w:left w:val="none" w:sz="0" w:space="4" w:color="auto"/>
          <w:bottom w:val="none" w:sz="0" w:space="1" w:color="auto"/>
          <w:right w:val="none" w:sz="0" w:space="4" w:color="auto"/>
        </w:pBdr>
        <w:tabs>
          <w:tab w:val="left" w:pos="8640"/>
        </w:tabs>
        <w:overflowPunct w:val="0"/>
        <w:autoSpaceDE w:val="0"/>
        <w:autoSpaceDN w:val="0"/>
        <w:spacing w:line="580"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snapToGrid w:val="0"/>
          <w:kern w:val="0"/>
          <w:sz w:val="30"/>
          <w:szCs w:val="30"/>
        </w:rPr>
        <w:t>提升金融服务实体经济质量和效益。提升资本市场对产业转型升级的支撑能力，推动符合条件的企业在主板上市、在新三板和区域股权交易中心挂牌，推动符合条件的企业发行债券，加大直接融资比重。搭建“线上</w:t>
      </w:r>
      <w:r>
        <w:rPr>
          <w:rFonts w:ascii="Times New Roman" w:eastAsia="仿宋" w:hAnsi="Times New Roman" w:cs="仿宋" w:hint="eastAsia"/>
          <w:bCs/>
          <w:snapToGrid w:val="0"/>
          <w:kern w:val="0"/>
          <w:sz w:val="30"/>
          <w:szCs w:val="30"/>
        </w:rPr>
        <w:t>+</w:t>
      </w:r>
      <w:r>
        <w:rPr>
          <w:rFonts w:ascii="Times New Roman" w:eastAsia="仿宋" w:hAnsi="Times New Roman" w:cs="仿宋" w:hint="eastAsia"/>
          <w:bCs/>
          <w:snapToGrid w:val="0"/>
          <w:kern w:val="0"/>
          <w:sz w:val="30"/>
          <w:szCs w:val="30"/>
        </w:rPr>
        <w:t>线下”服务平台，加强一对一、多对一专项政金企融资对接。借助安全可靠技术手段，稳妥渐进向金融机构开放各类企业数据，以数据综合评估结果确定授信额度，由“抵押贷款”逐步转向“信用贷款”，努力实现“一站式服务、零资料提交、一分钟融资”，为中小微企业提供更多普惠金融产品。</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154" w:name="_Toc26341"/>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155" w:name="_Toc20299"/>
      <w:r>
        <w:rPr>
          <w:rFonts w:ascii="Times New Roman" w:eastAsia="楷体" w:hAnsi="Times New Roman" w:cs="楷体" w:hint="eastAsia"/>
          <w:bCs/>
          <w:sz w:val="32"/>
          <w:szCs w:val="32"/>
        </w:rPr>
        <w:t>第三节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大力发展生产性服务业</w:t>
      </w:r>
      <w:bookmarkEnd w:id="154"/>
      <w:bookmarkEnd w:id="155"/>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napToGrid w:val="0"/>
          <w:kern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snapToGrid w:val="0"/>
          <w:kern w:val="0"/>
          <w:sz w:val="30"/>
          <w:szCs w:val="30"/>
        </w:rPr>
        <w:t>加快发展工业设计、检验检测服务。实施制造业设计能力提升专项行动，围绕煤焦化工、氯碱化工等优势产业和装备制造、新材料等新兴产业，建立开放共享的数据资源库，夯实工业设计发展基础。加强新技术、新工艺、新材料应用，面向制造业设计需求，搭建协同设计平台，应用推广众创、众包、众设等模式，提升工业设计服务水平。加强装备制造、新材料等领域的第三方检验检测服务。</w:t>
      </w:r>
      <w:r>
        <w:rPr>
          <w:rFonts w:ascii="Times New Roman" w:eastAsia="仿宋" w:hAnsi="Times New Roman" w:cs="仿宋" w:hint="eastAsia"/>
          <w:bCs/>
          <w:snapToGrid w:val="0"/>
          <w:kern w:val="0"/>
          <w:sz w:val="30"/>
          <w:szCs w:val="30"/>
        </w:rPr>
        <w:lastRenderedPageBreak/>
        <w:t>加强检验检测基础能力建设，大力发展面向设计开发、生产制造、售后服务全过程的分析、测试、检验、认证等服务，打造高水平检验检测认证企业和服务平台。加大检验检测机构高精尖的基础性和关键性检测设施设备投入，提高我市检验检测机构覆盖率，强化区级检验检测机构技术基础建设。加大检验检测行业监管力度。</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snapToGrid w:val="0"/>
          <w:kern w:val="0"/>
          <w:sz w:val="30"/>
          <w:szCs w:val="30"/>
        </w:rPr>
        <w:t>大力发展科技、商务服务业。积极引进培育新型研发和科技服务市场主体，构建政府引导、要素完备、功能完善、特色鲜明的新型科技服务体系。培育形成具备线上线下多渠道供应能力的备品备件服务企业，努力打造完整的工业供应链体系。配合“放管服”和政府购买服务改革，促进资产管理、会计、审计、税务、会展、信息等商务咨询服务业专业化、规范化、高水平发展，努力打造乌海及周边地区综合生产性服务业中心，提高科技研发、商务服务等行业对制造业高质量发展的服务保障能力。</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156" w:name="_Toc11230"/>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157" w:name="_Toc8978"/>
      <w:r>
        <w:rPr>
          <w:rFonts w:ascii="Times New Roman" w:eastAsia="楷体" w:hAnsi="Times New Roman" w:cs="楷体" w:hint="eastAsia"/>
          <w:bCs/>
          <w:sz w:val="32"/>
          <w:szCs w:val="32"/>
        </w:rPr>
        <w:t>第四节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提升发展生活性服务业</w:t>
      </w:r>
      <w:bookmarkEnd w:id="156"/>
      <w:bookmarkEnd w:id="157"/>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napToGrid w:val="0"/>
          <w:kern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snapToGrid w:val="0"/>
          <w:kern w:val="0"/>
          <w:sz w:val="30"/>
          <w:szCs w:val="30"/>
        </w:rPr>
        <w:t>改造升级商贸流通业。促进线上线下融合发展，创新商业业态，积极培育新消费、新供给，构建差异化、特色化、便利化的现代商贸服务体系。优化商业空间布局，打造“市级核心商圈、三区核心商圈、社区商业中心、特色商业街区”为主体的实体商业中心。加快滨河新区便民市场建设，完善金裕、新裕、新天地等农产品批发市场功能，形成服务乌海及周边地区居民的一级批发市场。鼓励大</w:t>
      </w:r>
      <w:r>
        <w:rPr>
          <w:rFonts w:ascii="Times New Roman" w:eastAsia="仿宋" w:hAnsi="Times New Roman" w:cs="仿宋" w:hint="eastAsia"/>
          <w:bCs/>
          <w:snapToGrid w:val="0"/>
          <w:kern w:val="0"/>
          <w:sz w:val="30"/>
          <w:szCs w:val="30"/>
        </w:rPr>
        <w:lastRenderedPageBreak/>
        <w:t>型商贸企业运用连锁、直营分销等模式，建设覆盖城镇、街道、农区的商品流通渠道。促进商旅文体康养等跨界融合，</w:t>
      </w:r>
      <w:r>
        <w:rPr>
          <w:rFonts w:ascii="Times New Roman" w:eastAsia="仿宋" w:hAnsi="Times New Roman" w:cs="仿宋" w:hint="eastAsia"/>
          <w:bCs/>
          <w:color w:val="000000" w:themeColor="text1"/>
          <w:sz w:val="30"/>
          <w:szCs w:val="30"/>
        </w:rPr>
        <w:t>加快金鹰卡通等知名品</w:t>
      </w:r>
      <w:r>
        <w:rPr>
          <w:rFonts w:ascii="Times New Roman" w:eastAsia="仿宋" w:hAnsi="Times New Roman" w:cs="仿宋" w:hint="eastAsia"/>
          <w:bCs/>
          <w:snapToGrid w:val="0"/>
          <w:kern w:val="0"/>
          <w:sz w:val="30"/>
          <w:szCs w:val="30"/>
        </w:rPr>
        <w:t>牌落地，</w:t>
      </w:r>
      <w:r>
        <w:rPr>
          <w:rFonts w:ascii="Times New Roman" w:eastAsia="仿宋" w:hAnsi="Times New Roman" w:cs="仿宋" w:hint="eastAsia"/>
          <w:bCs/>
          <w:color w:val="000000" w:themeColor="text1"/>
          <w:sz w:val="30"/>
          <w:szCs w:val="30"/>
        </w:rPr>
        <w:t>打造集餐饮、娱乐、购物于一体的文娱综合体、商业综合体，</w:t>
      </w:r>
      <w:r>
        <w:rPr>
          <w:rFonts w:ascii="Times New Roman" w:eastAsia="仿宋" w:hAnsi="Times New Roman" w:cs="仿宋" w:hint="eastAsia"/>
          <w:bCs/>
          <w:snapToGrid w:val="0"/>
          <w:kern w:val="0"/>
          <w:sz w:val="30"/>
          <w:szCs w:val="30"/>
        </w:rPr>
        <w:t>形成更多流通新平台、新业态、新模式，推动线下经营实体向场景化、体验式、互动性、综合型消费场所转型。</w:t>
      </w:r>
    </w:p>
    <w:p w:rsidR="001328A6" w:rsidRDefault="007F3236">
      <w:pPr>
        <w:pStyle w:val="Default"/>
        <w:pBdr>
          <w:top w:val="none" w:sz="0" w:space="1" w:color="auto"/>
          <w:left w:val="none" w:sz="0" w:space="4" w:color="auto"/>
          <w:bottom w:val="none" w:sz="0" w:space="1" w:color="auto"/>
          <w:right w:val="none" w:sz="0" w:space="4" w:color="auto"/>
        </w:pBdr>
        <w:overflowPunct w:val="0"/>
        <w:spacing w:line="580" w:lineRule="exact"/>
        <w:ind w:firstLineChars="200" w:firstLine="600"/>
        <w:jc w:val="both"/>
        <w:rPr>
          <w:rFonts w:ascii="Times New Roman" w:eastAsia="仿宋" w:hAnsi="Times New Roman" w:cs="仿宋"/>
          <w:bCs/>
          <w:snapToGrid w:val="0"/>
          <w:sz w:val="30"/>
          <w:szCs w:val="30"/>
        </w:rPr>
      </w:pPr>
      <w:r>
        <w:rPr>
          <w:rFonts w:ascii="Times New Roman" w:eastAsia="仿宋" w:hAnsi="Times New Roman" w:cs="仿宋" w:hint="eastAsia"/>
          <w:bCs/>
          <w:snapToGrid w:val="0"/>
          <w:sz w:val="30"/>
          <w:szCs w:val="30"/>
        </w:rPr>
        <w:t>提升健康养老产业发展层次。采取共建联办、股份合作、独资经营等方式，发展一批专科医院、康复医院、月子会所和医养一体化医院，加强与北京、呼和浩特、银川等国内优质医疗机构在远程医疗、专家会诊、人员培训、转院就诊等方面的合作，打造区域高端医疗服务体系，吸引周边地区的患者到乌海康复治疗，为发展养老服务业提供高水平的医疗保障。通过购置、置换、租赁等方式整合改造闲置社会资源，建设一批社区养老服务</w:t>
      </w:r>
      <w:r>
        <w:rPr>
          <w:rFonts w:ascii="Times New Roman" w:eastAsia="仿宋" w:hAnsi="Times New Roman" w:cs="仿宋" w:hint="eastAsia"/>
          <w:bCs/>
          <w:snapToGrid w:val="0"/>
          <w:color w:val="auto"/>
          <w:sz w:val="30"/>
          <w:szCs w:val="30"/>
        </w:rPr>
        <w:t>设施，城市、农区养老服务机构和设施覆盖率均达到</w:t>
      </w:r>
      <w:r>
        <w:rPr>
          <w:rFonts w:ascii="Times New Roman" w:eastAsia="仿宋" w:hAnsi="Times New Roman" w:cs="仿宋" w:hint="eastAsia"/>
          <w:bCs/>
          <w:snapToGrid w:val="0"/>
          <w:color w:val="auto"/>
          <w:sz w:val="30"/>
          <w:szCs w:val="30"/>
        </w:rPr>
        <w:t>100%</w:t>
      </w:r>
      <w:r>
        <w:rPr>
          <w:rFonts w:ascii="Times New Roman" w:eastAsia="仿宋" w:hAnsi="Times New Roman" w:cs="仿宋" w:hint="eastAsia"/>
          <w:bCs/>
          <w:snapToGrid w:val="0"/>
          <w:color w:val="auto"/>
          <w:sz w:val="30"/>
          <w:szCs w:val="30"/>
        </w:rPr>
        <w:t>。实施</w:t>
      </w:r>
      <w:r>
        <w:rPr>
          <w:rFonts w:ascii="Times New Roman" w:eastAsia="仿宋" w:hAnsi="Times New Roman" w:cs="仿宋" w:hint="eastAsia"/>
          <w:bCs/>
          <w:snapToGrid w:val="0"/>
          <w:sz w:val="30"/>
          <w:szCs w:val="30"/>
        </w:rPr>
        <w:t>贫困家庭适老化改造，支持医养结合养老设施建设，完善服务功能、提升服务质量。加强与海南省等国内养老基地的跨区域合作，完善异地医保结算机制，努力建设立足乌海、服务周边的休闲康养基地。</w:t>
      </w:r>
    </w:p>
    <w:p w:rsidR="001328A6" w:rsidRDefault="007F3236">
      <w:pPr>
        <w:pStyle w:val="Default"/>
        <w:pBdr>
          <w:top w:val="none" w:sz="0" w:space="1" w:color="auto"/>
          <w:left w:val="none" w:sz="0" w:space="4" w:color="auto"/>
          <w:bottom w:val="none" w:sz="0" w:space="1" w:color="auto"/>
          <w:right w:val="none" w:sz="0" w:space="4" w:color="auto"/>
        </w:pBdr>
        <w:overflowPunct w:val="0"/>
        <w:spacing w:line="580" w:lineRule="exact"/>
        <w:ind w:firstLineChars="200" w:firstLine="600"/>
        <w:jc w:val="both"/>
        <w:rPr>
          <w:rFonts w:ascii="Times New Roman" w:eastAsia="仿宋" w:hAnsi="Times New Roman" w:cs="仿宋"/>
          <w:bCs/>
          <w:snapToGrid w:val="0"/>
          <w:sz w:val="30"/>
          <w:szCs w:val="30"/>
        </w:rPr>
      </w:pPr>
      <w:r>
        <w:rPr>
          <w:rFonts w:ascii="Times New Roman" w:eastAsia="仿宋" w:hAnsi="Times New Roman" w:cs="仿宋" w:hint="eastAsia"/>
          <w:bCs/>
          <w:snapToGrid w:val="0"/>
          <w:sz w:val="30"/>
          <w:szCs w:val="30"/>
        </w:rPr>
        <w:t>加快发展居民和家庭服务业。围绕创造高品质生活，加快建立供给充分、服务便捷、管理规范、惠及城乡的居民家庭服务体系，着力提升居民生活便利化、精细化、品质化水平。提高居民家庭服务行业组织化程度，发展大型连锁家政公司，扶持培育一批员工制龙</w:t>
      </w:r>
      <w:r>
        <w:rPr>
          <w:rFonts w:ascii="Times New Roman" w:eastAsia="仿宋" w:hAnsi="Times New Roman" w:cs="仿宋" w:hint="eastAsia"/>
          <w:bCs/>
          <w:snapToGrid w:val="0"/>
          <w:spacing w:val="6"/>
          <w:sz w:val="30"/>
          <w:szCs w:val="30"/>
        </w:rPr>
        <w:t>头企业，创建知名家政服务品牌，争创全区家政服务业提质扩容“领跑者”试点城市。多形式提供医疗、保洁、居家养老、婴</w:t>
      </w:r>
      <w:r>
        <w:rPr>
          <w:rFonts w:ascii="Times New Roman" w:eastAsia="仿宋" w:hAnsi="Times New Roman" w:cs="仿宋" w:hint="eastAsia"/>
          <w:bCs/>
          <w:snapToGrid w:val="0"/>
          <w:spacing w:val="6"/>
          <w:sz w:val="30"/>
          <w:szCs w:val="30"/>
        </w:rPr>
        <w:lastRenderedPageBreak/>
        <w:t>幼儿看护、护理、家用电器及日用品维修等生活性服务，</w:t>
      </w:r>
      <w:r>
        <w:rPr>
          <w:rFonts w:ascii="Times New Roman" w:eastAsia="仿宋" w:hAnsi="Times New Roman" w:cs="仿宋" w:hint="eastAsia"/>
          <w:bCs/>
          <w:snapToGrid w:val="0"/>
          <w:color w:val="auto"/>
          <w:spacing w:val="6"/>
          <w:sz w:val="30"/>
          <w:szCs w:val="30"/>
        </w:rPr>
        <w:t>培育发展便民消费服务中心，</w:t>
      </w:r>
      <w:r>
        <w:rPr>
          <w:rFonts w:ascii="Times New Roman" w:eastAsia="仿宋" w:hAnsi="Times New Roman" w:cs="仿宋" w:hint="eastAsia"/>
          <w:bCs/>
          <w:snapToGrid w:val="0"/>
          <w:spacing w:val="6"/>
          <w:sz w:val="30"/>
          <w:szCs w:val="30"/>
        </w:rPr>
        <w:t>推进社区物业管理、安保、配送、家用车辆保养维修、搬家服务等</w:t>
      </w:r>
      <w:r>
        <w:rPr>
          <w:rFonts w:ascii="Times New Roman" w:eastAsia="仿宋" w:hAnsi="Times New Roman" w:cs="仿宋" w:hint="eastAsia"/>
          <w:bCs/>
          <w:snapToGrid w:val="0"/>
          <w:sz w:val="30"/>
          <w:szCs w:val="30"/>
        </w:rPr>
        <w:t>生活性服务规范化、标准化发展。支持社区发展精细化定制、“微生活”“云社区”等新兴服务模式。</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158" w:name="_Toc27349"/>
      <w:bookmarkStart w:id="159" w:name="_Toc17988"/>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160" w:name="_Toc18469"/>
      <w:r>
        <w:rPr>
          <w:rFonts w:ascii="Times New Roman" w:eastAsia="楷体" w:hAnsi="Times New Roman" w:cs="楷体" w:hint="eastAsia"/>
          <w:bCs/>
          <w:sz w:val="32"/>
          <w:szCs w:val="32"/>
        </w:rPr>
        <w:t>第五节</w:t>
      </w:r>
      <w:bookmarkEnd w:id="158"/>
      <w:r>
        <w:rPr>
          <w:rFonts w:ascii="Times New Roman" w:eastAsia="楷体" w:hAnsi="Times New Roman" w:cs="楷体" w:hint="eastAsia"/>
          <w:bCs/>
          <w:sz w:val="32"/>
          <w:szCs w:val="32"/>
        </w:rPr>
        <w:t>建设黄河流域旅游目的地城市</w:t>
      </w:r>
      <w:bookmarkEnd w:id="159"/>
      <w:bookmarkEnd w:id="160"/>
    </w:p>
    <w:p w:rsidR="001328A6" w:rsidRDefault="001328A6">
      <w:pPr>
        <w:pBdr>
          <w:top w:val="none" w:sz="0" w:space="1" w:color="auto"/>
          <w:left w:val="none" w:sz="0" w:space="4" w:color="auto"/>
          <w:bottom w:val="none" w:sz="0" w:space="1" w:color="auto"/>
          <w:right w:val="none" w:sz="0" w:space="4" w:color="auto"/>
        </w:pBdr>
        <w:overflowPunct w:val="0"/>
        <w:spacing w:line="580" w:lineRule="exact"/>
        <w:rPr>
          <w:rFonts w:ascii="Times New Roman" w:eastAsia="仿宋" w:hAnsi="Times New Roman" w:cs="仿宋"/>
          <w:bCs/>
          <w:color w:val="00000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sz w:val="30"/>
          <w:szCs w:val="30"/>
        </w:rPr>
      </w:pPr>
      <w:r>
        <w:rPr>
          <w:rFonts w:ascii="Times New Roman" w:eastAsia="仿宋" w:hAnsi="Times New Roman" w:cs="仿宋" w:hint="eastAsia"/>
          <w:bCs/>
          <w:color w:val="000000"/>
          <w:sz w:val="30"/>
          <w:szCs w:val="30"/>
        </w:rPr>
        <w:t>扩大文旅产品供给。积极参与自治区黄河几字弯文化旅游带建设，推进乌海湖一体规划、一体开发建设，发展全域旅游、四季旅游，打造以乌海湖为核心吸引物的黄河沙漠特色品牌旅游带，力争将乌海湖创建成为国家</w:t>
      </w:r>
      <w:r>
        <w:rPr>
          <w:rFonts w:ascii="Times New Roman" w:eastAsia="仿宋" w:hAnsi="Times New Roman" w:cs="仿宋" w:hint="eastAsia"/>
          <w:bCs/>
          <w:color w:val="000000"/>
          <w:sz w:val="30"/>
          <w:szCs w:val="30"/>
        </w:rPr>
        <w:t>5A</w:t>
      </w:r>
      <w:r>
        <w:rPr>
          <w:rFonts w:ascii="Times New Roman" w:eastAsia="仿宋" w:hAnsi="Times New Roman" w:cs="仿宋" w:hint="eastAsia"/>
          <w:bCs/>
          <w:color w:val="000000"/>
          <w:sz w:val="30"/>
          <w:szCs w:val="30"/>
        </w:rPr>
        <w:t>级景区和国家级旅游度假区。推动海勃湾区创建自治区级全域旅游示范区。以增加旅游卖点、旅游产品，拉长旅游旺季为目标，培育壮大文化和旅游消费新业态、新模式，组织实施麦咭</w:t>
      </w:r>
      <w:r>
        <w:rPr>
          <w:rFonts w:ascii="Times New Roman" w:eastAsia="仿宋" w:hAnsi="Times New Roman" w:cs="仿宋" w:hint="eastAsia"/>
          <w:bCs/>
          <w:color w:val="000000"/>
          <w:sz w:val="30"/>
          <w:szCs w:val="30"/>
        </w:rPr>
        <w:t>TV</w:t>
      </w:r>
      <w:r>
        <w:rPr>
          <w:rFonts w:ascii="Times New Roman" w:eastAsia="仿宋" w:hAnsi="Times New Roman" w:cs="仿宋" w:hint="eastAsia"/>
          <w:bCs/>
          <w:color w:val="000000"/>
          <w:sz w:val="30"/>
          <w:szCs w:val="30"/>
        </w:rPr>
        <w:t>小镇、阳光田宇葡萄特色小镇、黄河西行客栈文化旅游、乌海湖智慧健康谷和满巴拉僧蒙医药康养小镇等重点文化旅游产业项目。打造乡村旅游发展新动能，力争王元地村创建乡村旅游重点村。提升</w:t>
      </w:r>
      <w:r>
        <w:rPr>
          <w:rFonts w:ascii="Times New Roman" w:eastAsia="仿宋" w:hAnsi="Times New Roman" w:cs="仿宋" w:hint="eastAsia"/>
          <w:bCs/>
          <w:color w:val="000000"/>
          <w:sz w:val="30"/>
          <w:szCs w:val="30"/>
        </w:rPr>
        <w:t>A</w:t>
      </w:r>
      <w:r>
        <w:rPr>
          <w:rFonts w:ascii="Times New Roman" w:eastAsia="仿宋" w:hAnsi="Times New Roman" w:cs="仿宋" w:hint="eastAsia"/>
          <w:bCs/>
          <w:color w:val="000000"/>
          <w:sz w:val="30"/>
          <w:szCs w:val="30"/>
        </w:rPr>
        <w:t>级景区吸引力和承载力，引导景区和乡村旅游集聚区建设新型酒店、乡村民宿和汽车营地，打造沙漠运动之旅、葡萄季旅游、书法城文化之旅、沿黄乡村生态休闲之旅等精品旅游线路，利用周边地区特色旅游资源联手开发旅游线路和产品，突出对</w:t>
      </w:r>
      <w:r>
        <w:rPr>
          <w:rFonts w:ascii="Times New Roman" w:eastAsia="仿宋" w:hAnsi="Times New Roman" w:cs="仿宋" w:hint="eastAsia"/>
          <w:bCs/>
          <w:color w:val="000000"/>
          <w:spacing w:val="-6"/>
          <w:sz w:val="30"/>
          <w:szCs w:val="30"/>
        </w:rPr>
        <w:t>周边旅游资源的配套服务和保障功能，增强与市场消费需求的适配性。</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642"/>
        <w:rPr>
          <w:rFonts w:ascii="Times New Roman" w:eastAsia="仿宋" w:hAnsi="Times New Roman" w:cs="仿宋"/>
          <w:bCs/>
          <w:color w:val="000000"/>
          <w:sz w:val="30"/>
          <w:szCs w:val="30"/>
        </w:rPr>
      </w:pPr>
      <w:r>
        <w:rPr>
          <w:rFonts w:ascii="Times New Roman" w:eastAsia="仿宋" w:hAnsi="Times New Roman" w:cs="仿宋" w:hint="eastAsia"/>
          <w:bCs/>
          <w:color w:val="000000"/>
          <w:sz w:val="30"/>
          <w:szCs w:val="30"/>
        </w:rPr>
        <w:t>培育丰富文旅新业态。壮大特色文旅产业，以“山海沙城</w:t>
      </w:r>
      <w:r>
        <w:rPr>
          <w:rFonts w:ascii="Times New Roman" w:eastAsia="仿宋" w:hAnsi="Times New Roman" w:cs="Times New Roman"/>
          <w:b/>
          <w:spacing w:val="-34"/>
          <w:sz w:val="30"/>
          <w:szCs w:val="30"/>
        </w:rPr>
        <w:t>·</w:t>
      </w:r>
      <w:r>
        <w:rPr>
          <w:rFonts w:ascii="Times New Roman" w:eastAsia="仿宋" w:hAnsi="Times New Roman" w:cs="仿宋" w:hint="eastAsia"/>
          <w:bCs/>
          <w:color w:val="000000"/>
          <w:sz w:val="30"/>
          <w:szCs w:val="30"/>
        </w:rPr>
        <w:t>醉美</w:t>
      </w:r>
      <w:r>
        <w:rPr>
          <w:rFonts w:ascii="Times New Roman" w:eastAsia="仿宋" w:hAnsi="Times New Roman" w:cs="仿宋" w:hint="eastAsia"/>
          <w:bCs/>
          <w:color w:val="000000"/>
          <w:sz w:val="30"/>
          <w:szCs w:val="30"/>
        </w:rPr>
        <w:lastRenderedPageBreak/>
        <w:t>乌海”为品牌，加快构建结构合理、布局科学、市场完善的现代文化产业体系。扩大优质文旅产品供给，提升世界沙漠葡萄酒文化节、“黄河明珠</w:t>
      </w:r>
      <w:r>
        <w:rPr>
          <w:rFonts w:ascii="Times New Roman" w:eastAsia="仿宋" w:hAnsi="Times New Roman" w:cs="Times New Roman"/>
          <w:b/>
          <w:spacing w:val="-34"/>
          <w:sz w:val="30"/>
          <w:szCs w:val="30"/>
        </w:rPr>
        <w:t>·</w:t>
      </w:r>
      <w:r>
        <w:rPr>
          <w:rFonts w:ascii="Times New Roman" w:eastAsia="仿宋" w:hAnsi="Times New Roman" w:cs="仿宋" w:hint="eastAsia"/>
          <w:bCs/>
          <w:color w:val="000000"/>
          <w:sz w:val="30"/>
          <w:szCs w:val="30"/>
        </w:rPr>
        <w:t>乌海书法艺术节”等活动影响力，着力打造富有地域特色、影响力强的论坛、节庆、会展及赛事活动。围绕“中国书法城</w:t>
      </w:r>
      <w:r>
        <w:rPr>
          <w:rFonts w:ascii="Times New Roman" w:eastAsia="仿宋" w:hAnsi="Times New Roman" w:cs="Times New Roman"/>
          <w:b/>
          <w:spacing w:val="-34"/>
          <w:sz w:val="30"/>
          <w:szCs w:val="30"/>
        </w:rPr>
        <w:t>·</w:t>
      </w:r>
      <w:r>
        <w:rPr>
          <w:rFonts w:ascii="Times New Roman" w:eastAsia="仿宋" w:hAnsi="Times New Roman" w:cs="仿宋" w:hint="eastAsia"/>
          <w:bCs/>
          <w:color w:val="000000"/>
          <w:sz w:val="30"/>
          <w:szCs w:val="30"/>
        </w:rPr>
        <w:t>乌海”“沙漠葡萄酒之都”“来沙漠看海”等城市品牌，开展“乌海书法万里行”、精品剧目巡演、沿黄城市交流等活动。争创国家文化和旅游消费试点城市。</w:t>
      </w:r>
    </w:p>
    <w:p w:rsidR="001328A6" w:rsidRDefault="007F3236">
      <w:pPr>
        <w:overflowPunct w:val="0"/>
        <w:spacing w:line="580" w:lineRule="exact"/>
        <w:ind w:firstLine="642"/>
        <w:rPr>
          <w:rFonts w:ascii="Times New Roman" w:eastAsia="仿宋" w:hAnsi="Times New Roman" w:cs="仿宋"/>
          <w:bCs/>
          <w:color w:val="000000"/>
          <w:sz w:val="30"/>
          <w:szCs w:val="30"/>
        </w:rPr>
      </w:pPr>
      <w:r>
        <w:rPr>
          <w:rFonts w:ascii="Times New Roman" w:eastAsia="仿宋" w:hAnsi="Times New Roman" w:cs="仿宋" w:hint="eastAsia"/>
          <w:bCs/>
          <w:color w:val="000000"/>
          <w:sz w:val="30"/>
          <w:szCs w:val="30"/>
        </w:rPr>
        <w:t>“文旅</w:t>
      </w:r>
      <w:r>
        <w:rPr>
          <w:rFonts w:ascii="Times New Roman" w:eastAsia="仿宋" w:hAnsi="Times New Roman" w:cs="仿宋" w:hint="eastAsia"/>
          <w:bCs/>
          <w:color w:val="000000"/>
          <w:sz w:val="30"/>
          <w:szCs w:val="30"/>
        </w:rPr>
        <w:t>+</w:t>
      </w:r>
      <w:r>
        <w:rPr>
          <w:rFonts w:ascii="Times New Roman" w:eastAsia="仿宋" w:hAnsi="Times New Roman" w:cs="仿宋" w:hint="eastAsia"/>
          <w:bCs/>
          <w:color w:val="000000"/>
          <w:sz w:val="30"/>
          <w:szCs w:val="30"/>
        </w:rPr>
        <w:t>”产业融合发展。推动“文旅</w:t>
      </w:r>
      <w:r>
        <w:rPr>
          <w:rFonts w:ascii="Times New Roman" w:eastAsia="仿宋" w:hAnsi="Times New Roman" w:cs="仿宋" w:hint="eastAsia"/>
          <w:bCs/>
          <w:color w:val="000000"/>
          <w:sz w:val="30"/>
          <w:szCs w:val="30"/>
        </w:rPr>
        <w:t>+</w:t>
      </w:r>
      <w:r>
        <w:rPr>
          <w:rFonts w:ascii="Times New Roman" w:eastAsia="仿宋" w:hAnsi="Times New Roman" w:cs="仿宋" w:hint="eastAsia"/>
          <w:bCs/>
          <w:color w:val="000000"/>
          <w:sz w:val="30"/>
          <w:szCs w:val="30"/>
        </w:rPr>
        <w:t>公共文化服务”深度融合，加大美术馆、博物馆等公共文化场馆延时开放或优化开放时间，助力夜间经济发展。统筹市书画院和葡萄特色文化街，规划打造集阅读阅览、非遗传习展示、书画艺术创作、群众团体演出培训交流、文创产品交易的综合文化服务阵地和夜间经济消费集聚区。推动“文旅</w:t>
      </w:r>
      <w:r>
        <w:rPr>
          <w:rFonts w:ascii="Times New Roman" w:eastAsia="仿宋" w:hAnsi="Times New Roman" w:cs="仿宋" w:hint="eastAsia"/>
          <w:bCs/>
          <w:color w:val="000000"/>
          <w:sz w:val="30"/>
          <w:szCs w:val="30"/>
        </w:rPr>
        <w:t>+</w:t>
      </w:r>
      <w:r>
        <w:rPr>
          <w:rFonts w:ascii="Times New Roman" w:eastAsia="仿宋" w:hAnsi="Times New Roman" w:cs="仿宋" w:hint="eastAsia"/>
          <w:bCs/>
          <w:color w:val="000000"/>
          <w:sz w:val="30"/>
          <w:szCs w:val="30"/>
        </w:rPr>
        <w:t>文物”深度融合，依托岩画、长城等历史文化资源的保护利用，开发历史文化旅游产品，丰富以文物保护单位、博物馆、红色纪念馆、非遗文化馆为支撑的研学旅游产品。依托特色资源，建设主题文化产业园区，加速与关联产业融合发展。推动“文旅</w:t>
      </w:r>
      <w:r>
        <w:rPr>
          <w:rFonts w:ascii="Times New Roman" w:eastAsia="仿宋" w:hAnsi="Times New Roman" w:cs="仿宋" w:hint="eastAsia"/>
          <w:bCs/>
          <w:color w:val="000000"/>
          <w:sz w:val="30"/>
          <w:szCs w:val="30"/>
        </w:rPr>
        <w:t>+</w:t>
      </w:r>
      <w:r>
        <w:rPr>
          <w:rFonts w:ascii="Times New Roman" w:eastAsia="仿宋" w:hAnsi="Times New Roman" w:cs="仿宋" w:hint="eastAsia"/>
          <w:bCs/>
          <w:color w:val="000000"/>
          <w:sz w:val="30"/>
          <w:szCs w:val="30"/>
        </w:rPr>
        <w:t>非遗”深度融合，将书法、大漠、葡萄、湖城等元素融入非遗产品开发，带动非遗文创产品销售，形成具有区域特色的文化旅游新亮点。推动“文旅</w:t>
      </w:r>
      <w:r>
        <w:rPr>
          <w:rFonts w:ascii="Times New Roman" w:eastAsia="仿宋" w:hAnsi="Times New Roman" w:cs="仿宋" w:hint="eastAsia"/>
          <w:bCs/>
          <w:color w:val="000000"/>
          <w:sz w:val="30"/>
          <w:szCs w:val="30"/>
        </w:rPr>
        <w:t>+</w:t>
      </w:r>
      <w:r>
        <w:rPr>
          <w:rFonts w:ascii="Times New Roman" w:eastAsia="仿宋" w:hAnsi="Times New Roman" w:cs="仿宋" w:hint="eastAsia"/>
          <w:bCs/>
          <w:color w:val="000000"/>
          <w:sz w:val="30"/>
          <w:szCs w:val="30"/>
        </w:rPr>
        <w:t>体育”深度融合，依托沙水山城户外运动特色，积极引办国际国内高端体育赛事，重点承办环乌海湖国际马拉松、国际帆板、全国公路自行车、全国沙滩足球排球等特色精品赛事活动，努力打造西部户外运动城。</w:t>
      </w:r>
    </w:p>
    <w:p w:rsidR="001328A6" w:rsidRDefault="001328A6">
      <w:pPr>
        <w:pStyle w:val="a0"/>
        <w:spacing w:before="0" w:after="0" w:line="240" w:lineRule="exact"/>
        <w:rPr>
          <w:rFonts w:ascii="Times New Roman" w:hAnsi="Times New Roman"/>
        </w:rPr>
      </w:pPr>
    </w:p>
    <w:tbl>
      <w:tblPr>
        <w:tblW w:w="8735" w:type="dxa"/>
        <w:tblInd w:w="136" w:type="dxa"/>
        <w:tblBorders>
          <w:top w:val="single" w:sz="4" w:space="0" w:color="auto"/>
          <w:left w:val="single" w:sz="4" w:space="0" w:color="auto"/>
          <w:bottom w:val="single" w:sz="4" w:space="0" w:color="auto"/>
          <w:right w:val="single" w:sz="4" w:space="0" w:color="auto"/>
        </w:tblBorders>
        <w:tblLayout w:type="fixed"/>
        <w:tblLook w:val="04A0"/>
      </w:tblPr>
      <w:tblGrid>
        <w:gridCol w:w="8735"/>
      </w:tblGrid>
      <w:tr w:rsidR="001328A6">
        <w:trPr>
          <w:trHeight w:val="510"/>
        </w:trPr>
        <w:tc>
          <w:tcPr>
            <w:tcW w:w="8735" w:type="dxa"/>
            <w:tcBorders>
              <w:top w:val="single" w:sz="4" w:space="0" w:color="auto"/>
              <w:left w:val="single" w:sz="4" w:space="0" w:color="auto"/>
              <w:bottom w:val="single" w:sz="4" w:space="0" w:color="auto"/>
              <w:right w:val="single" w:sz="4" w:space="0" w:color="auto"/>
            </w:tcBorders>
          </w:tcPr>
          <w:p w:rsidR="001328A6" w:rsidRDefault="007F3236">
            <w:pPr>
              <w:pBdr>
                <w:top w:val="none" w:sz="0" w:space="1" w:color="auto"/>
                <w:left w:val="none" w:sz="0" w:space="4" w:color="auto"/>
                <w:bottom w:val="none" w:sz="0" w:space="1" w:color="auto"/>
                <w:right w:val="none" w:sz="0" w:space="4" w:color="auto"/>
              </w:pBdr>
              <w:overflowPunct w:val="0"/>
              <w:spacing w:line="480" w:lineRule="exact"/>
              <w:jc w:val="center"/>
              <w:rPr>
                <w:rFonts w:ascii="Times New Roman" w:eastAsia="宋体" w:hAnsi="Times New Roman" w:cs="Times New Roman"/>
                <w:bCs/>
                <w:kern w:val="0"/>
                <w:sz w:val="32"/>
                <w:szCs w:val="32"/>
              </w:rPr>
            </w:pPr>
            <w:r>
              <w:rPr>
                <w:rFonts w:ascii="Times New Roman" w:eastAsia="宋体" w:hAnsi="Times New Roman" w:cs="宋体" w:hint="eastAsia"/>
                <w:b/>
                <w:color w:val="000000" w:themeColor="text1"/>
                <w:sz w:val="24"/>
                <w:szCs w:val="24"/>
              </w:rPr>
              <w:t>专栏</w:t>
            </w:r>
            <w:r>
              <w:rPr>
                <w:rFonts w:ascii="Times New Roman" w:eastAsia="宋体" w:hAnsi="Times New Roman" w:cs="宋体" w:hint="eastAsia"/>
                <w:b/>
                <w:color w:val="000000" w:themeColor="text1"/>
                <w:sz w:val="24"/>
                <w:szCs w:val="24"/>
              </w:rPr>
              <w:t xml:space="preserve">7  </w:t>
            </w:r>
            <w:r>
              <w:rPr>
                <w:rFonts w:ascii="Times New Roman" w:eastAsia="宋体" w:hAnsi="Times New Roman" w:cs="宋体" w:hint="eastAsia"/>
                <w:b/>
                <w:color w:val="000000" w:themeColor="text1"/>
                <w:sz w:val="24"/>
                <w:szCs w:val="24"/>
              </w:rPr>
              <w:t>文化旅游融合发展</w:t>
            </w:r>
          </w:p>
        </w:tc>
      </w:tr>
      <w:tr w:rsidR="001328A6">
        <w:tc>
          <w:tcPr>
            <w:tcW w:w="8735" w:type="dxa"/>
            <w:tcBorders>
              <w:top w:val="single" w:sz="4" w:space="0" w:color="auto"/>
              <w:left w:val="single" w:sz="4" w:space="0" w:color="auto"/>
              <w:bottom w:val="single" w:sz="4" w:space="0" w:color="auto"/>
              <w:right w:val="single" w:sz="4" w:space="0" w:color="auto"/>
            </w:tcBorders>
          </w:tcPr>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hAnsi="Times New Roman" w:cs="Times New Roman"/>
                <w:bCs/>
              </w:rPr>
            </w:pPr>
            <w:r>
              <w:rPr>
                <w:rFonts w:ascii="Times New Roman" w:hAnsi="Times New Roman" w:cs="Times New Roman"/>
                <w:bCs/>
                <w:sz w:val="24"/>
                <w:szCs w:val="24"/>
              </w:rPr>
              <w:t>推动建设文化旅游融合项目，主动融入、积极参与自治区</w:t>
            </w:r>
            <w:r>
              <w:rPr>
                <w:rFonts w:ascii="Times New Roman" w:hAnsi="Times New Roman" w:cs="Times New Roman" w:hint="eastAsia"/>
                <w:bCs/>
                <w:sz w:val="24"/>
                <w:szCs w:val="24"/>
              </w:rPr>
              <w:t>黄河几字弯</w:t>
            </w:r>
            <w:r>
              <w:rPr>
                <w:rFonts w:ascii="Times New Roman" w:hAnsi="Times New Roman" w:cs="Times New Roman"/>
                <w:bCs/>
                <w:sz w:val="24"/>
                <w:szCs w:val="24"/>
              </w:rPr>
              <w:t>文化旅游带建设。发展全域旅游、四季旅游，提升旅游景区基础设施和接待水平。发展以户外运动、体育赛事、蒙医沙疗体验为重点的健康旅游产业。</w:t>
            </w:r>
          </w:p>
        </w:tc>
      </w:tr>
    </w:tbl>
    <w:p w:rsidR="001328A6" w:rsidRDefault="001328A6">
      <w:pPr>
        <w:pBdr>
          <w:top w:val="none" w:sz="0" w:space="1" w:color="auto"/>
          <w:left w:val="none" w:sz="0" w:space="4" w:color="auto"/>
          <w:bottom w:val="none" w:sz="0" w:space="1" w:color="auto"/>
          <w:right w:val="none" w:sz="0" w:space="4" w:color="auto"/>
        </w:pBdr>
        <w:overflowPunct w:val="0"/>
        <w:spacing w:line="558" w:lineRule="exact"/>
        <w:jc w:val="center"/>
        <w:rPr>
          <w:rFonts w:ascii="Times New Roman" w:eastAsia="楷体_GB2312" w:hAnsi="Times New Roman" w:cs="Times New Roman"/>
          <w:bCs/>
          <w:sz w:val="32"/>
          <w:szCs w:val="32"/>
        </w:rPr>
      </w:pPr>
      <w:bookmarkStart w:id="161" w:name="_Toc18985"/>
      <w:bookmarkStart w:id="162" w:name="_Toc29520"/>
      <w:bookmarkStart w:id="163" w:name="_Toc7290"/>
    </w:p>
    <w:p w:rsidR="001328A6" w:rsidRDefault="007F3236">
      <w:pPr>
        <w:pBdr>
          <w:top w:val="none" w:sz="0" w:space="1" w:color="auto"/>
          <w:left w:val="none" w:sz="0" w:space="4" w:color="auto"/>
          <w:bottom w:val="none" w:sz="0" w:space="1" w:color="auto"/>
          <w:right w:val="none" w:sz="0" w:space="4" w:color="auto"/>
        </w:pBdr>
        <w:overflowPunct w:val="0"/>
        <w:spacing w:line="558" w:lineRule="exact"/>
        <w:jc w:val="center"/>
        <w:outlineLvl w:val="2"/>
        <w:rPr>
          <w:rFonts w:ascii="Times New Roman" w:eastAsia="楷体" w:hAnsi="Times New Roman" w:cs="楷体"/>
          <w:bCs/>
          <w:sz w:val="32"/>
          <w:szCs w:val="32"/>
        </w:rPr>
      </w:pPr>
      <w:bookmarkStart w:id="164" w:name="_Toc3367"/>
      <w:r>
        <w:rPr>
          <w:rFonts w:ascii="Times New Roman" w:eastAsia="楷体" w:hAnsi="Times New Roman" w:cs="楷体" w:hint="eastAsia"/>
          <w:bCs/>
          <w:sz w:val="32"/>
          <w:szCs w:val="32"/>
        </w:rPr>
        <w:t>第六节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加强重点集聚区建设</w:t>
      </w:r>
      <w:bookmarkEnd w:id="161"/>
      <w:bookmarkEnd w:id="162"/>
      <w:bookmarkEnd w:id="163"/>
      <w:bookmarkEnd w:id="164"/>
    </w:p>
    <w:p w:rsidR="001328A6" w:rsidRDefault="001328A6">
      <w:pPr>
        <w:pBdr>
          <w:top w:val="none" w:sz="0" w:space="1" w:color="auto"/>
          <w:left w:val="none" w:sz="0" w:space="4" w:color="auto"/>
          <w:bottom w:val="none" w:sz="0" w:space="1" w:color="auto"/>
          <w:right w:val="none" w:sz="0" w:space="4" w:color="auto"/>
        </w:pBdr>
        <w:overflowPunct w:val="0"/>
        <w:spacing w:line="558" w:lineRule="exact"/>
        <w:ind w:firstLine="648"/>
        <w:rPr>
          <w:rFonts w:ascii="Times New Roman" w:eastAsia="仿宋_GB2312" w:hAnsi="Times New Roman" w:cs="Times New Roman"/>
          <w:bCs/>
          <w:color w:val="000000" w:themeColor="text1"/>
          <w:sz w:val="32"/>
          <w:szCs w:val="32"/>
        </w:rPr>
      </w:pP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648"/>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大力推动服务业集聚区建设。推进物流业与制造业、商贸流通业联动发展，做大做强大宗商品物流，利用城市区位优势，重点打造以生产性物流业为主的服务业集聚区；对目前已形成的</w:t>
      </w:r>
      <w:r>
        <w:rPr>
          <w:rFonts w:ascii="Times New Roman" w:eastAsia="仿宋" w:hAnsi="Times New Roman" w:cs="仿宋" w:hint="eastAsia"/>
          <w:bCs/>
          <w:color w:val="000000" w:themeColor="text1"/>
          <w:sz w:val="30"/>
          <w:szCs w:val="30"/>
        </w:rPr>
        <w:t>7</w:t>
      </w:r>
      <w:r>
        <w:rPr>
          <w:rFonts w:ascii="Times New Roman" w:eastAsia="仿宋" w:hAnsi="Times New Roman" w:cs="仿宋" w:hint="eastAsia"/>
          <w:bCs/>
          <w:color w:val="000000" w:themeColor="text1"/>
          <w:sz w:val="30"/>
          <w:szCs w:val="30"/>
        </w:rPr>
        <w:t>个服务业集聚区板块，持续扩容提质，加快提升集聚效应，为服务业高质量发展提供有效支撑；以保障低碳产业园及周边居民生产生活需求为目标，加快园区生活区和配套服务区建设；以乌海职业技术学院、公共实训基地等为依托，结合我市特色优势产业，大力发展职业技术教育与培训，开设相关课程，打造职业教育产业集聚区。</w:t>
      </w:r>
    </w:p>
    <w:p w:rsidR="001328A6" w:rsidRDefault="007F323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仿宋"/>
          <w:bCs/>
          <w:color w:val="000000" w:themeColor="text1"/>
          <w:kern w:val="0"/>
          <w:sz w:val="30"/>
          <w:szCs w:val="30"/>
        </w:rPr>
      </w:pPr>
      <w:r>
        <w:rPr>
          <w:rFonts w:ascii="Times New Roman" w:eastAsia="仿宋" w:hAnsi="Times New Roman" w:cs="仿宋" w:hint="eastAsia"/>
          <w:bCs/>
          <w:color w:val="000000" w:themeColor="text1"/>
          <w:sz w:val="30"/>
          <w:szCs w:val="30"/>
        </w:rPr>
        <w:t>高水平开发建设高铁站区域。</w:t>
      </w:r>
      <w:r>
        <w:rPr>
          <w:rFonts w:ascii="Times New Roman" w:eastAsia="仿宋" w:hAnsi="Times New Roman" w:cs="仿宋" w:hint="eastAsia"/>
          <w:bCs/>
          <w:color w:val="000000" w:themeColor="text1"/>
          <w:kern w:val="0"/>
          <w:sz w:val="30"/>
          <w:szCs w:val="30"/>
        </w:rPr>
        <w:t>科学规划车站</w:t>
      </w:r>
      <w:r>
        <w:rPr>
          <w:rFonts w:ascii="Times New Roman" w:eastAsia="仿宋" w:hAnsi="Times New Roman" w:cs="仿宋" w:hint="eastAsia"/>
          <w:bCs/>
          <w:color w:val="000000" w:themeColor="text1"/>
          <w:sz w:val="30"/>
          <w:szCs w:val="30"/>
        </w:rPr>
        <w:t>客货流的集散与转换，充分考虑商业、酒店等功能设施的布局，高起点规划站前广场，高标准开发车站周边区域，建设现代化高铁新片区，推动城市空间有效拓展和内部结构整合优化，促进交通、产业、城镇融合发展，形成城市发展新的增长极。建设以快递、生鲜、药品冷链等行业为主的高铁物流园，为市民提供集运输、装卸搬运、仓储、配送及信息处理于一体的高铁物流服务。海勃湾站周边区域的开发突出产城</w:t>
      </w:r>
      <w:r>
        <w:rPr>
          <w:rFonts w:ascii="Times New Roman" w:eastAsia="仿宋" w:hAnsi="Times New Roman" w:cs="仿宋" w:hint="eastAsia"/>
          <w:bCs/>
          <w:color w:val="000000" w:themeColor="text1"/>
          <w:sz w:val="30"/>
          <w:szCs w:val="30"/>
        </w:rPr>
        <w:lastRenderedPageBreak/>
        <w:t>融合、站城一体，与城市建成区合理分工，在综合交通运输体系和市政基础设施建设等方面同步规划、协调推进。突出高铁站与客运枢纽站、乌海机场等重点交通设施的统筹规划，打造客货分离、便捷高效的综合“交通枢纽”和“经济枢纽”。乌海南站周边区域以辐射带动海南区、乌达区及周边城镇为重点，统筹推动交通基础设施互联互通、市政基础设施配套建设。依托阳光田宇、西行客栈等旅游资源，全力打造集葡萄、葡萄酒特色旅游观光、休闲农事体验、工业文化遗产等于一体的旅游特色小镇，推动两个高铁片区特色差异化互补发展。</w:t>
      </w:r>
    </w:p>
    <w:p w:rsidR="001328A6" w:rsidRDefault="001328A6">
      <w:pPr>
        <w:pBdr>
          <w:top w:val="none" w:sz="0" w:space="1" w:color="auto"/>
          <w:left w:val="none" w:sz="0" w:space="4" w:color="auto"/>
          <w:bottom w:val="none" w:sz="0" w:space="1" w:color="auto"/>
          <w:right w:val="none" w:sz="0" w:space="4" w:color="auto"/>
        </w:pBdr>
        <w:overflowPunct w:val="0"/>
        <w:spacing w:line="610" w:lineRule="exact"/>
        <w:jc w:val="center"/>
        <w:rPr>
          <w:rFonts w:ascii="Times New Roman" w:eastAsia="仿宋" w:hAnsi="Times New Roman" w:cs="仿宋"/>
          <w:bCs/>
          <w:sz w:val="30"/>
          <w:szCs w:val="30"/>
        </w:rPr>
      </w:pPr>
      <w:bookmarkStart w:id="165" w:name="_Toc3807"/>
    </w:p>
    <w:p w:rsidR="001328A6" w:rsidRDefault="007F3236">
      <w:pPr>
        <w:pBdr>
          <w:top w:val="none" w:sz="0" w:space="1" w:color="auto"/>
          <w:left w:val="none" w:sz="0" w:space="4" w:color="auto"/>
          <w:bottom w:val="none" w:sz="0" w:space="1" w:color="auto"/>
          <w:right w:val="none" w:sz="0" w:space="4" w:color="auto"/>
        </w:pBdr>
        <w:overflowPunct w:val="0"/>
        <w:spacing w:line="610" w:lineRule="exact"/>
        <w:jc w:val="center"/>
        <w:outlineLvl w:val="1"/>
        <w:rPr>
          <w:rFonts w:ascii="Times New Roman" w:eastAsia="黑体" w:hAnsi="Times New Roman" w:cs="黑体"/>
          <w:bCs/>
          <w:sz w:val="32"/>
          <w:szCs w:val="32"/>
        </w:rPr>
      </w:pPr>
      <w:bookmarkStart w:id="166" w:name="_Toc8479"/>
      <w:r>
        <w:rPr>
          <w:rFonts w:ascii="Times New Roman" w:eastAsia="黑体" w:hAnsi="Times New Roman" w:cs="黑体" w:hint="eastAsia"/>
          <w:bCs/>
          <w:sz w:val="32"/>
          <w:szCs w:val="32"/>
        </w:rPr>
        <w:t>第十章</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促进农业与二三产业融合发展</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全面推进乡村振兴</w:t>
      </w:r>
      <w:bookmarkEnd w:id="165"/>
      <w:bookmarkEnd w:id="166"/>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610" w:lineRule="exact"/>
        <w:ind w:firstLineChars="200" w:firstLine="600"/>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61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z w:val="30"/>
          <w:szCs w:val="30"/>
        </w:rPr>
        <w:t>按照都市型农业特点，坚持“生态、高效、特色、精品”的发展思路，依托智慧农业、农村电商、休闲度假等新业态，打造实时高效的农业产业链供应链，努力提高供给水平。大力发展有机农业、绿色农产品，壮大以精品葡萄、设施蔬菜、现代农产品加工业和现代农业服务为支撑的产业体系，培育一二三产业融合发展的特色农业，加快农业农区现代化进程，巩固拓展脱贫攻坚成果同乡村振兴有效衔接，全面推进乡村振兴。</w:t>
      </w:r>
    </w:p>
    <w:p w:rsidR="001328A6" w:rsidRDefault="001328A6">
      <w:pPr>
        <w:pBdr>
          <w:top w:val="none" w:sz="0" w:space="1" w:color="auto"/>
          <w:left w:val="none" w:sz="0" w:space="4" w:color="auto"/>
          <w:bottom w:val="none" w:sz="0" w:space="1" w:color="auto"/>
          <w:right w:val="none" w:sz="0" w:space="4" w:color="auto"/>
        </w:pBdr>
        <w:overflowPunct w:val="0"/>
        <w:spacing w:line="610" w:lineRule="exact"/>
        <w:jc w:val="center"/>
        <w:rPr>
          <w:rFonts w:ascii="Times New Roman" w:eastAsia="仿宋" w:hAnsi="Times New Roman" w:cs="仿宋"/>
          <w:bCs/>
          <w:sz w:val="30"/>
          <w:szCs w:val="30"/>
        </w:rPr>
      </w:pPr>
      <w:bookmarkStart w:id="167" w:name="_Toc19379"/>
      <w:bookmarkStart w:id="168" w:name="_Toc19914"/>
    </w:p>
    <w:p w:rsidR="001328A6" w:rsidRDefault="001328A6">
      <w:pPr>
        <w:pBdr>
          <w:top w:val="none" w:sz="0" w:space="1" w:color="auto"/>
          <w:left w:val="none" w:sz="0" w:space="4" w:color="auto"/>
          <w:bottom w:val="none" w:sz="0" w:space="1" w:color="auto"/>
          <w:right w:val="none" w:sz="0" w:space="4" w:color="auto"/>
        </w:pBdr>
        <w:overflowPunct w:val="0"/>
        <w:spacing w:line="610" w:lineRule="exact"/>
        <w:jc w:val="center"/>
        <w:outlineLvl w:val="2"/>
        <w:rPr>
          <w:rFonts w:ascii="Times New Roman" w:eastAsia="仿宋" w:hAnsi="Times New Roman" w:cs="仿宋"/>
          <w:bCs/>
          <w:sz w:val="30"/>
          <w:szCs w:val="30"/>
        </w:rPr>
      </w:pPr>
      <w:bookmarkStart w:id="169" w:name="_Toc32052"/>
    </w:p>
    <w:p w:rsidR="001328A6" w:rsidRDefault="007F3236">
      <w:pPr>
        <w:pBdr>
          <w:top w:val="none" w:sz="0" w:space="1" w:color="auto"/>
          <w:left w:val="none" w:sz="0" w:space="4" w:color="auto"/>
          <w:bottom w:val="none" w:sz="0" w:space="1" w:color="auto"/>
          <w:right w:val="none" w:sz="0" w:space="4" w:color="auto"/>
        </w:pBdr>
        <w:overflowPunct w:val="0"/>
        <w:spacing w:line="610" w:lineRule="exact"/>
        <w:jc w:val="center"/>
        <w:outlineLvl w:val="2"/>
        <w:rPr>
          <w:rFonts w:ascii="Times New Roman" w:eastAsia="楷体" w:hAnsi="Times New Roman" w:cs="楷体"/>
          <w:bCs/>
          <w:sz w:val="32"/>
          <w:szCs w:val="32"/>
        </w:rPr>
      </w:pPr>
      <w:r>
        <w:rPr>
          <w:rFonts w:ascii="Times New Roman" w:eastAsia="楷体" w:hAnsi="Times New Roman" w:cs="楷体" w:hint="eastAsia"/>
          <w:bCs/>
          <w:sz w:val="32"/>
          <w:szCs w:val="32"/>
        </w:rPr>
        <w:lastRenderedPageBreak/>
        <w:t>第一节</w:t>
      </w:r>
      <w:r>
        <w:rPr>
          <w:rFonts w:ascii="Times New Roman" w:eastAsia="楷体" w:hAnsi="Times New Roman" w:cs="楷体" w:hint="eastAsia"/>
          <w:bCs/>
          <w:sz w:val="32"/>
          <w:szCs w:val="32"/>
        </w:rPr>
        <w:t xml:space="preserve"> </w:t>
      </w:r>
      <w:bookmarkEnd w:id="167"/>
      <w:r>
        <w:rPr>
          <w:rFonts w:ascii="Times New Roman" w:eastAsia="楷体" w:hAnsi="Times New Roman" w:cs="楷体" w:hint="eastAsia"/>
          <w:bCs/>
          <w:sz w:val="32"/>
          <w:szCs w:val="32"/>
        </w:rPr>
        <w:t>推进农业高质量发展</w:t>
      </w:r>
      <w:bookmarkEnd w:id="168"/>
      <w:bookmarkEnd w:id="169"/>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610" w:lineRule="exact"/>
        <w:ind w:firstLineChars="200" w:firstLine="600"/>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61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z w:val="30"/>
          <w:szCs w:val="30"/>
        </w:rPr>
        <w:t>增强农业基础配套支撑。以高效节水为重点，不断完善农田灌溉设施、道路、供水、供电、防护林等配套设施。推进高标准农田、万亩设施农业基地、绿色蔬菜生产示范基地等项目建设，</w:t>
      </w:r>
      <w:r>
        <w:rPr>
          <w:rFonts w:ascii="Times New Roman" w:eastAsia="仿宋" w:hAnsi="Times New Roman" w:cs="仿宋" w:hint="eastAsia"/>
          <w:bCs/>
          <w:color w:val="000000" w:themeColor="text1"/>
          <w:sz w:val="30"/>
          <w:szCs w:val="30"/>
        </w:rPr>
        <w:t>支持农业产业示范园发展，建设现代设施葡萄科技园区。</w:t>
      </w:r>
      <w:r>
        <w:rPr>
          <w:rFonts w:ascii="Times New Roman" w:eastAsia="仿宋" w:hAnsi="Times New Roman" w:cs="仿宋" w:hint="eastAsia"/>
          <w:bCs/>
          <w:sz w:val="30"/>
          <w:szCs w:val="30"/>
        </w:rPr>
        <w:t>盘活现有农业设施和耕地资源，为发展葡萄特色产业和精品蔬菜种植提供有力支撑。加强农产品仓储保鲜冷链物流设施建设。加强现代化农业科技和装备支撑，提高农业良种化水平。健全动物防疫和农作物病虫害防治体系。</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61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z w:val="30"/>
          <w:szCs w:val="30"/>
        </w:rPr>
        <w:t>推动葡萄产业集群化发展。坚持“稳酿酒、增鲜食”的发展思路，积极引进适合本地、迎合高端市场的优势特色品种，推广葡萄标准化栽培技术，因地制宜扩大鲜食葡萄种植面积，加大“乌海葡萄”区域公用品牌打造力度。做好“乌海葡萄”“世界沙漠葡萄酒”品牌推广营销，进一步提升葡萄附加值和竞争力。以葡萄特色小镇、特色酒庄酒堡建设为重点，发展“葡萄种植</w:t>
      </w:r>
      <w:r>
        <w:rPr>
          <w:rFonts w:ascii="Times New Roman" w:eastAsia="仿宋" w:hAnsi="Times New Roman" w:cs="仿宋" w:hint="eastAsia"/>
          <w:bCs/>
          <w:sz w:val="30"/>
          <w:szCs w:val="30"/>
        </w:rPr>
        <w:t>+</w:t>
      </w:r>
      <w:r>
        <w:rPr>
          <w:rFonts w:ascii="Times New Roman" w:eastAsia="仿宋" w:hAnsi="Times New Roman" w:cs="仿宋" w:hint="eastAsia"/>
          <w:bCs/>
          <w:sz w:val="30"/>
          <w:szCs w:val="30"/>
        </w:rPr>
        <w:t>葡萄酒生产营销</w:t>
      </w:r>
      <w:r>
        <w:rPr>
          <w:rFonts w:ascii="Times New Roman" w:eastAsia="仿宋" w:hAnsi="Times New Roman" w:cs="仿宋" w:hint="eastAsia"/>
          <w:bCs/>
          <w:sz w:val="30"/>
          <w:szCs w:val="30"/>
        </w:rPr>
        <w:t>+</w:t>
      </w:r>
      <w:r>
        <w:rPr>
          <w:rFonts w:ascii="Times New Roman" w:eastAsia="仿宋" w:hAnsi="Times New Roman" w:cs="仿宋" w:hint="eastAsia"/>
          <w:bCs/>
          <w:sz w:val="30"/>
          <w:szCs w:val="30"/>
        </w:rPr>
        <w:t>特</w:t>
      </w:r>
      <w:r>
        <w:rPr>
          <w:rFonts w:ascii="Times New Roman" w:eastAsia="仿宋" w:hAnsi="Times New Roman" w:cs="仿宋" w:hint="eastAsia"/>
          <w:bCs/>
          <w:spacing w:val="-6"/>
          <w:sz w:val="30"/>
          <w:szCs w:val="30"/>
        </w:rPr>
        <w:t>色旅游</w:t>
      </w:r>
      <w:r>
        <w:rPr>
          <w:rFonts w:ascii="Times New Roman" w:eastAsia="仿宋" w:hAnsi="Times New Roman" w:cs="仿宋" w:hint="eastAsia"/>
          <w:bCs/>
          <w:spacing w:val="-6"/>
          <w:sz w:val="30"/>
          <w:szCs w:val="30"/>
        </w:rPr>
        <w:t>+</w:t>
      </w:r>
      <w:r>
        <w:rPr>
          <w:rFonts w:ascii="Times New Roman" w:eastAsia="仿宋" w:hAnsi="Times New Roman" w:cs="仿宋" w:hint="eastAsia"/>
          <w:bCs/>
          <w:spacing w:val="-6"/>
          <w:sz w:val="30"/>
          <w:szCs w:val="30"/>
        </w:rPr>
        <w:t>葡萄酒文化对外交流”相结合的产业融合发展新模式。加强葡萄仓储保鲜冷链物流设施建设，发展“生鲜电商</w:t>
      </w:r>
      <w:r>
        <w:rPr>
          <w:rFonts w:ascii="Times New Roman" w:eastAsia="仿宋" w:hAnsi="Times New Roman" w:cs="仿宋" w:hint="eastAsia"/>
          <w:bCs/>
          <w:spacing w:val="-6"/>
          <w:sz w:val="30"/>
          <w:szCs w:val="30"/>
        </w:rPr>
        <w:t>+</w:t>
      </w:r>
      <w:r>
        <w:rPr>
          <w:rFonts w:ascii="Times New Roman" w:eastAsia="仿宋" w:hAnsi="Times New Roman" w:cs="仿宋" w:hint="eastAsia"/>
          <w:bCs/>
          <w:spacing w:val="-6"/>
          <w:sz w:val="30"/>
          <w:szCs w:val="30"/>
        </w:rPr>
        <w:t>冷链配送”的物流新模式。建立葡萄、葡萄酒质量抽检和可追溯制度。加强与沿黄省市、盟市间的沟通协作，推动黄河沿岸有机</w:t>
      </w:r>
      <w:r>
        <w:rPr>
          <w:rFonts w:ascii="Times New Roman" w:eastAsia="仿宋" w:hAnsi="Times New Roman" w:cs="仿宋" w:hint="eastAsia"/>
          <w:bCs/>
          <w:spacing w:val="6"/>
          <w:sz w:val="30"/>
          <w:szCs w:val="30"/>
        </w:rPr>
        <w:t>葡萄产业发展壮大，打造自治区西部专业化、规模化葡萄产业集群。</w:t>
      </w: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641"/>
        <w:rPr>
          <w:rFonts w:ascii="Times New Roman" w:eastAsia="仿宋" w:hAnsi="Times New Roman" w:cs="仿宋"/>
          <w:bCs/>
          <w:spacing w:val="-6"/>
          <w:sz w:val="30"/>
          <w:szCs w:val="30"/>
        </w:rPr>
      </w:pPr>
      <w:r>
        <w:rPr>
          <w:rFonts w:ascii="Times New Roman" w:eastAsia="仿宋" w:hAnsi="Times New Roman" w:cs="仿宋" w:hint="eastAsia"/>
          <w:bCs/>
          <w:sz w:val="30"/>
          <w:szCs w:val="30"/>
        </w:rPr>
        <w:lastRenderedPageBreak/>
        <w:t>不断丰富市民“菜篮子”。围绕城乡居民“肉、菜、蛋、奶”等基</w:t>
      </w:r>
      <w:r>
        <w:rPr>
          <w:rFonts w:ascii="Times New Roman" w:eastAsia="仿宋" w:hAnsi="Times New Roman" w:cs="仿宋" w:hint="eastAsia"/>
          <w:bCs/>
          <w:spacing w:val="-6"/>
          <w:sz w:val="30"/>
          <w:szCs w:val="30"/>
        </w:rPr>
        <w:t>本需求，着力发展高品质、反季节、生态、有机蔬菜，大力发展生猪、蛋鸡规模化标准化养殖，适度发展育肥牛羊，逐步形成农牧结合、循环发展的新型种养结构。健全重大动物疫病防控体系。</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58"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z w:val="30"/>
          <w:szCs w:val="30"/>
        </w:rPr>
        <w:t>建立现代农业经营体系。实施新型农牧业经营主体培育工程，加快培育和引进更多规模适度、生产集约、管理先进、效益明显的龙头企业、合作社、家庭农牧场，推动各类经营主体健康有序发展。通过技术培训、产业扶持、就业创业、订单收购等模式推动形成完善的利益联结机制，促进新型农牧业经营主体与小农户有机衔接、协同发展。持续深化供销社综合改革，完善农业社会化服务体系，健全农产品现代化流通体系。</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提升农业科技支撑能力。加强农业科技创新平台载体和科技人员队伍建设，加强新品种、新技术、新成果的引进、提升、展示与推广，促进主导产业升级，提高农产品档次和质量。推进数字信息化与农业生产的深度融合，推动智慧农业云平台建设，重点围绕设施农业种植，从建设集约化种苗生产信息管理系统、环境监测控制和生产过程管理系统、产品质量安全监控和追溯系统、采购商品化处理系统等方面加大技术研究与应用推广。积极推广现代农业技术，推进高效生态科技农业园建设，进一步提高农产品生产加工集中度和科技水平。加强与国内知名院校、先进葡萄产区的交流与合作，通过在先进地区建设异地葡萄产业工人跟岗培训基地、在乌海职业技术学院开设酿酒技术专业、邀请知名专家学者举办培训班等措施，有效解决葡萄产业工人紧缺的瓶颈问题。</w:t>
      </w:r>
    </w:p>
    <w:p w:rsidR="001328A6" w:rsidRDefault="007F3236">
      <w:pPr>
        <w:pBdr>
          <w:top w:val="none" w:sz="0" w:space="1" w:color="auto"/>
          <w:left w:val="none" w:sz="0" w:space="4" w:color="auto"/>
          <w:bottom w:val="none" w:sz="0" w:space="1" w:color="auto"/>
          <w:right w:val="none" w:sz="0" w:space="4" w:color="auto"/>
        </w:pBdr>
        <w:overflowPunct w:val="0"/>
        <w:spacing w:line="600" w:lineRule="exact"/>
        <w:jc w:val="center"/>
        <w:outlineLvl w:val="2"/>
        <w:rPr>
          <w:rFonts w:ascii="Times New Roman" w:eastAsia="楷体" w:hAnsi="Times New Roman" w:cs="楷体"/>
          <w:bCs/>
          <w:sz w:val="32"/>
          <w:szCs w:val="32"/>
        </w:rPr>
      </w:pPr>
      <w:bookmarkStart w:id="170" w:name="_Toc8138"/>
      <w:bookmarkStart w:id="171" w:name="_Toc12082"/>
      <w:bookmarkStart w:id="172" w:name="_Toc7722"/>
      <w:r>
        <w:rPr>
          <w:rFonts w:ascii="Times New Roman" w:eastAsia="楷体" w:hAnsi="Times New Roman" w:cs="楷体" w:hint="eastAsia"/>
          <w:bCs/>
          <w:sz w:val="32"/>
          <w:szCs w:val="32"/>
        </w:rPr>
        <w:lastRenderedPageBreak/>
        <w:t>第二节</w:t>
      </w:r>
      <w:r>
        <w:rPr>
          <w:rFonts w:ascii="Times New Roman" w:eastAsia="楷体" w:hAnsi="Times New Roman" w:cs="楷体" w:hint="eastAsia"/>
          <w:bCs/>
          <w:sz w:val="32"/>
          <w:szCs w:val="32"/>
        </w:rPr>
        <w:t xml:space="preserve"> </w:t>
      </w:r>
      <w:bookmarkEnd w:id="170"/>
      <w:r>
        <w:rPr>
          <w:rFonts w:ascii="Times New Roman" w:eastAsia="楷体" w:hAnsi="Times New Roman" w:cs="楷体" w:hint="eastAsia"/>
          <w:bCs/>
          <w:sz w:val="32"/>
          <w:szCs w:val="32"/>
        </w:rPr>
        <w:t>全面推进乡村振兴</w:t>
      </w:r>
      <w:bookmarkEnd w:id="171"/>
      <w:bookmarkEnd w:id="172"/>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实施乡村建设行动。健全城乡融合发展体制机制，强化以工补农、以城带乡，推动形成工农互促、城乡互补、协调发展、共同繁荣的新型工农城乡关系。有重点、分阶段推动农区基础设施及公共服务水平提档升级，加快形成城乡共建共享、互联互通的格局。</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建设美丽乡村。大力实施农区人居环境整治提升五年行动，统筹抓好农区生活垃圾、污水处理、农业生产废弃物资源化利用、村容村貌提升，持续推进户厕改造，重点实施“清脏、治乱、增绿”行动。依托大漠湖城生态优势，塑造具有乌海特色的乡村风貌，建设个性鲜明、基础设施完备的新型农区。健全完善“有制度、有标准、有队伍、有经费、有督查”的农区人居环境管护长效机制。</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提升乡村治理能力。完善村级议事协商制度，丰富村民参与乡村治理渠道，拓宽议事协商范围，让农区居民自己“说事、议事、主事”。持续开展普法教育，推动乡村善治，不断提升乡村治理效能。拓展群众性精神文明创建工作，大力弘扬文化道德新风，全面提升农区居民思想道德水平。</w:t>
      </w:r>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jc w:val="center"/>
        <w:rPr>
          <w:rFonts w:ascii="Times New Roman" w:eastAsia="仿宋" w:hAnsi="Times New Roman" w:cs="仿宋"/>
          <w:bCs/>
          <w:color w:val="000000" w:themeColor="text1"/>
          <w:sz w:val="30"/>
          <w:szCs w:val="30"/>
        </w:rPr>
      </w:pPr>
      <w:bookmarkStart w:id="173" w:name="_Toc30640"/>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jc w:val="center"/>
        <w:outlineLvl w:val="2"/>
        <w:rPr>
          <w:rFonts w:ascii="Times New Roman" w:eastAsia="楷体" w:hAnsi="Times New Roman" w:cs="楷体"/>
          <w:bCs/>
          <w:color w:val="000000" w:themeColor="text1"/>
          <w:sz w:val="32"/>
          <w:szCs w:val="32"/>
        </w:rPr>
      </w:pPr>
      <w:bookmarkStart w:id="174" w:name="_Toc25618"/>
      <w:r>
        <w:rPr>
          <w:rFonts w:ascii="Times New Roman" w:eastAsia="楷体" w:hAnsi="Times New Roman" w:cs="楷体" w:hint="eastAsia"/>
          <w:bCs/>
          <w:color w:val="000000" w:themeColor="text1"/>
          <w:sz w:val="32"/>
          <w:szCs w:val="32"/>
        </w:rPr>
        <w:t>第三节</w:t>
      </w:r>
      <w:r>
        <w:rPr>
          <w:rFonts w:ascii="Times New Roman" w:eastAsia="楷体" w:hAnsi="Times New Roman" w:cs="楷体" w:hint="eastAsia"/>
          <w:bCs/>
          <w:color w:val="000000" w:themeColor="text1"/>
          <w:sz w:val="32"/>
          <w:szCs w:val="32"/>
        </w:rPr>
        <w:t xml:space="preserve">  </w:t>
      </w:r>
      <w:r>
        <w:rPr>
          <w:rFonts w:ascii="Times New Roman" w:eastAsia="楷体" w:hAnsi="Times New Roman" w:cs="楷体" w:hint="eastAsia"/>
          <w:bCs/>
          <w:color w:val="000000" w:themeColor="text1"/>
          <w:sz w:val="32"/>
          <w:szCs w:val="32"/>
        </w:rPr>
        <w:t>推进脱贫攻坚同乡村振兴有效衔接</w:t>
      </w:r>
      <w:bookmarkEnd w:id="173"/>
      <w:bookmarkEnd w:id="174"/>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持续做好产业扶贫工作。不断发展壮大扶贫龙头企业、创业致富带头人等带贫主体，提高组织化程度，延长扶贫产业链条，完善</w:t>
      </w:r>
      <w:r>
        <w:rPr>
          <w:rFonts w:ascii="Times New Roman" w:eastAsia="仿宋" w:hAnsi="Times New Roman" w:cs="仿宋" w:hint="eastAsia"/>
          <w:bCs/>
          <w:color w:val="000000" w:themeColor="text1"/>
          <w:sz w:val="30"/>
          <w:szCs w:val="30"/>
        </w:rPr>
        <w:lastRenderedPageBreak/>
        <w:t>带贫减贫机制。依托乡村特色优势资源，打造农业全产业链，构建现代乡村产业体系，实现乡村产业全面振兴。持续推进扶贫资产清查，建立底数清、产权明、责任实的区、镇、村三级实体化管理台账，确保扶贫资产保值增值、持续发挥效益。</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_GB2312" w:hAnsi="Times New Roman" w:cs="Times New Roman"/>
          <w:bCs/>
          <w:color w:val="000000" w:themeColor="text1"/>
          <w:sz w:val="32"/>
          <w:szCs w:val="32"/>
        </w:rPr>
      </w:pPr>
      <w:r>
        <w:rPr>
          <w:rFonts w:ascii="Times New Roman" w:eastAsia="仿宋" w:hAnsi="Times New Roman" w:cs="仿宋" w:hint="eastAsia"/>
          <w:bCs/>
          <w:color w:val="000000" w:themeColor="text1"/>
          <w:sz w:val="30"/>
          <w:szCs w:val="30"/>
        </w:rPr>
        <w:t>巩固脱贫攻坚成果。坚决守住脱贫攻坚成果，推进脱贫攻坚与乡村振兴在政策、规划、基础设施建设、公共服务提升、考核等方面的有效衔接。积极推进脱贫攻坚从超常举措向常态帮扶转变，从集中攻坚向长效机制转变。脱贫攻坚过渡期内，重点做好产业、就业和消费扶贫工作，保持脱贫攻坚责任机制、支持政策基本不变，健全防止返贫监测预警机制，推动农区居民收入持续增长，确保脱贫人口在乡村振兴中不掉队，为建档立卡贫困人口实现更好发展奠定坚实基础。</w:t>
      </w:r>
    </w:p>
    <w:p w:rsidR="001328A6" w:rsidRDefault="001328A6">
      <w:pPr>
        <w:pStyle w:val="a0"/>
        <w:overflowPunct w:val="0"/>
        <w:spacing w:before="0" w:after="0" w:line="240" w:lineRule="exact"/>
        <w:outlineLvl w:val="9"/>
        <w:rPr>
          <w:rFonts w:ascii="Times New Roman" w:hAnsi="Times New Roman"/>
          <w:b w:val="0"/>
        </w:rPr>
      </w:pPr>
    </w:p>
    <w:tbl>
      <w:tblPr>
        <w:tblW w:w="8735" w:type="dxa"/>
        <w:tblBorders>
          <w:top w:val="single" w:sz="4" w:space="0" w:color="auto"/>
          <w:left w:val="single" w:sz="4" w:space="0" w:color="auto"/>
          <w:bottom w:val="single" w:sz="4" w:space="0" w:color="auto"/>
          <w:right w:val="single" w:sz="4" w:space="0" w:color="auto"/>
        </w:tblBorders>
        <w:tblLayout w:type="fixed"/>
        <w:tblLook w:val="04A0"/>
      </w:tblPr>
      <w:tblGrid>
        <w:gridCol w:w="8735"/>
      </w:tblGrid>
      <w:tr w:rsidR="001328A6">
        <w:trPr>
          <w:cantSplit/>
          <w:trHeight w:val="510"/>
        </w:trPr>
        <w:tc>
          <w:tcPr>
            <w:tcW w:w="8735" w:type="dxa"/>
            <w:tcBorders>
              <w:top w:val="single" w:sz="4" w:space="0" w:color="auto"/>
              <w:left w:val="single" w:sz="4" w:space="0" w:color="auto"/>
              <w:bottom w:val="single" w:sz="4" w:space="0" w:color="auto"/>
              <w:right w:val="single" w:sz="4" w:space="0" w:color="auto"/>
            </w:tcBorders>
          </w:tcPr>
          <w:p w:rsidR="001328A6" w:rsidRDefault="007F3236">
            <w:pPr>
              <w:pBdr>
                <w:top w:val="none" w:sz="0" w:space="1" w:color="auto"/>
                <w:left w:val="none" w:sz="0" w:space="4" w:color="auto"/>
                <w:bottom w:val="none" w:sz="0" w:space="1" w:color="auto"/>
                <w:right w:val="none" w:sz="0" w:space="4" w:color="auto"/>
              </w:pBdr>
              <w:overflowPunct w:val="0"/>
              <w:spacing w:line="480" w:lineRule="exact"/>
              <w:jc w:val="center"/>
              <w:rPr>
                <w:rFonts w:ascii="Times New Roman" w:eastAsia="宋体" w:hAnsi="Times New Roman" w:cs="Times New Roman"/>
                <w:bCs/>
                <w:kern w:val="0"/>
                <w:sz w:val="32"/>
                <w:szCs w:val="32"/>
              </w:rPr>
            </w:pPr>
            <w:r>
              <w:rPr>
                <w:rFonts w:ascii="Times New Roman" w:eastAsia="宋体" w:hAnsi="Times New Roman" w:cs="宋体" w:hint="eastAsia"/>
                <w:b/>
                <w:color w:val="000000" w:themeColor="text1"/>
                <w:sz w:val="24"/>
                <w:szCs w:val="24"/>
              </w:rPr>
              <w:t>专栏</w:t>
            </w:r>
            <w:r>
              <w:rPr>
                <w:rFonts w:ascii="Times New Roman" w:eastAsia="宋体" w:hAnsi="Times New Roman" w:cs="宋体" w:hint="eastAsia"/>
                <w:b/>
                <w:color w:val="000000" w:themeColor="text1"/>
                <w:sz w:val="24"/>
                <w:szCs w:val="24"/>
              </w:rPr>
              <w:t xml:space="preserve">8  </w:t>
            </w:r>
            <w:r>
              <w:rPr>
                <w:rFonts w:ascii="Times New Roman" w:eastAsia="宋体" w:hAnsi="Times New Roman" w:cs="宋体" w:hint="eastAsia"/>
                <w:b/>
                <w:color w:val="000000" w:themeColor="text1"/>
                <w:sz w:val="24"/>
                <w:szCs w:val="24"/>
              </w:rPr>
              <w:t>农业农区高质量发展重点</w:t>
            </w:r>
          </w:p>
        </w:tc>
      </w:tr>
      <w:tr w:rsidR="001328A6">
        <w:trPr>
          <w:cantSplit/>
        </w:trPr>
        <w:tc>
          <w:tcPr>
            <w:tcW w:w="8735" w:type="dxa"/>
            <w:tcBorders>
              <w:top w:val="single" w:sz="4" w:space="0" w:color="auto"/>
              <w:left w:val="single" w:sz="4" w:space="0" w:color="auto"/>
              <w:bottom w:val="single" w:sz="4" w:space="0" w:color="auto"/>
              <w:right w:val="single" w:sz="4" w:space="0" w:color="auto"/>
            </w:tcBorders>
          </w:tcPr>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eastAsia="宋体" w:hAnsi="Times New Roman" w:cs="Times New Roman"/>
                <w:bCs/>
                <w:kern w:val="0"/>
                <w:sz w:val="24"/>
                <w:szCs w:val="24"/>
              </w:rPr>
            </w:pPr>
            <w:r>
              <w:rPr>
                <w:rFonts w:ascii="Times New Roman" w:eastAsia="宋体" w:hAnsi="Times New Roman" w:cs="Times New Roman"/>
                <w:bCs/>
                <w:kern w:val="0"/>
                <w:sz w:val="24"/>
                <w:szCs w:val="24"/>
              </w:rPr>
              <w:t>推动生态有机农副产品标准化生产基地和仓储、冷链物流中心建设。加快实施高效农业和饮水安全工程。全面推进乡村振兴基础设施建设。</w:t>
            </w:r>
          </w:p>
        </w:tc>
      </w:tr>
    </w:tbl>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宋体" w:hAnsi="Times New Roman" w:cs="Times New Roman"/>
          <w:bCs/>
        </w:rPr>
      </w:pPr>
      <w:bookmarkStart w:id="175" w:name="_Toc17023"/>
    </w:p>
    <w:p w:rsidR="001328A6" w:rsidRDefault="007F3236">
      <w:pPr>
        <w:rPr>
          <w:rFonts w:ascii="Times New Roman" w:eastAsia="宋体" w:hAnsi="Times New Roman" w:cs="Times New Roman"/>
          <w:bCs/>
        </w:rPr>
      </w:pPr>
      <w:r>
        <w:rPr>
          <w:rFonts w:ascii="Times New Roman" w:eastAsia="宋体" w:hAnsi="Times New Roman" w:cs="Times New Roman"/>
          <w:bCs/>
        </w:rPr>
        <w:br w:type="page"/>
      </w: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1"/>
        <w:rPr>
          <w:rFonts w:ascii="Times New Roman" w:eastAsia="黑体" w:hAnsi="Times New Roman" w:cs="黑体"/>
          <w:bCs/>
          <w:sz w:val="32"/>
          <w:szCs w:val="36"/>
        </w:rPr>
      </w:pPr>
      <w:bookmarkStart w:id="176" w:name="_Toc32428"/>
      <w:r>
        <w:rPr>
          <w:rFonts w:ascii="Times New Roman" w:eastAsia="黑体" w:hAnsi="Times New Roman" w:cs="黑体" w:hint="eastAsia"/>
          <w:bCs/>
          <w:sz w:val="32"/>
          <w:szCs w:val="36"/>
        </w:rPr>
        <w:lastRenderedPageBreak/>
        <w:t>第十一章</w:t>
      </w:r>
      <w:r>
        <w:rPr>
          <w:rFonts w:ascii="Times New Roman" w:eastAsia="黑体" w:hAnsi="Times New Roman" w:cs="黑体" w:hint="eastAsia"/>
          <w:bCs/>
          <w:sz w:val="32"/>
          <w:szCs w:val="36"/>
        </w:rPr>
        <w:t xml:space="preserve">  </w:t>
      </w:r>
      <w:r>
        <w:rPr>
          <w:rFonts w:ascii="Times New Roman" w:eastAsia="黑体" w:hAnsi="Times New Roman" w:cs="黑体" w:hint="eastAsia"/>
          <w:bCs/>
          <w:sz w:val="32"/>
          <w:szCs w:val="36"/>
        </w:rPr>
        <w:t>加快数字化发展</w:t>
      </w:r>
      <w:r>
        <w:rPr>
          <w:rFonts w:ascii="Times New Roman" w:eastAsia="黑体" w:hAnsi="Times New Roman" w:cs="黑体" w:hint="eastAsia"/>
          <w:bCs/>
          <w:sz w:val="32"/>
          <w:szCs w:val="36"/>
        </w:rPr>
        <w:t xml:space="preserve">  </w:t>
      </w:r>
      <w:r>
        <w:rPr>
          <w:rFonts w:ascii="Times New Roman" w:eastAsia="黑体" w:hAnsi="Times New Roman" w:cs="黑体" w:hint="eastAsia"/>
          <w:bCs/>
          <w:sz w:val="32"/>
          <w:szCs w:val="36"/>
        </w:rPr>
        <w:t>推进产业数字化转型</w:t>
      </w:r>
      <w:bookmarkEnd w:id="175"/>
      <w:bookmarkEnd w:id="176"/>
    </w:p>
    <w:p w:rsidR="001328A6" w:rsidRDefault="001328A6">
      <w:pPr>
        <w:pStyle w:val="a0"/>
        <w:overflowPunct w:val="0"/>
        <w:spacing w:before="0" w:after="0" w:line="580" w:lineRule="exact"/>
        <w:outlineLvl w:val="9"/>
        <w:rPr>
          <w:rFonts w:ascii="Times New Roman" w:eastAsia="仿宋_GB2312" w:hAnsi="Times New Roman" w:cs="Times New Roman"/>
          <w:b w:val="0"/>
          <w:snapToGrid w:val="0"/>
        </w:rPr>
      </w:pPr>
    </w:p>
    <w:p w:rsidR="001328A6" w:rsidRDefault="007F3236">
      <w:pPr>
        <w:pStyle w:val="Default"/>
        <w:pBdr>
          <w:top w:val="none" w:sz="0" w:space="1" w:color="auto"/>
          <w:left w:val="none" w:sz="0" w:space="4" w:color="auto"/>
          <w:bottom w:val="none" w:sz="0" w:space="1" w:color="auto"/>
          <w:right w:val="none" w:sz="0" w:space="4" w:color="auto"/>
        </w:pBdr>
        <w:overflowPunct w:val="0"/>
        <w:spacing w:line="580" w:lineRule="exact"/>
        <w:ind w:firstLineChars="200" w:firstLine="600"/>
        <w:jc w:val="both"/>
        <w:rPr>
          <w:rFonts w:ascii="Times New Roman" w:eastAsia="仿宋" w:hAnsi="Times New Roman" w:cs="仿宋"/>
          <w:bCs/>
          <w:snapToGrid w:val="0"/>
          <w:sz w:val="30"/>
          <w:szCs w:val="30"/>
        </w:rPr>
      </w:pPr>
      <w:r>
        <w:rPr>
          <w:rFonts w:ascii="Times New Roman" w:eastAsia="仿宋" w:hAnsi="Times New Roman" w:cs="仿宋" w:hint="eastAsia"/>
          <w:bCs/>
          <w:snapToGrid w:val="0"/>
          <w:sz w:val="30"/>
          <w:szCs w:val="30"/>
        </w:rPr>
        <w:t>推动数据资源开发利用，推动</w:t>
      </w:r>
      <w:r>
        <w:rPr>
          <w:rFonts w:ascii="Times New Roman" w:eastAsia="仿宋" w:hAnsi="Times New Roman" w:cs="仿宋" w:hint="eastAsia"/>
          <w:bCs/>
          <w:snapToGrid w:val="0"/>
          <w:sz w:val="30"/>
          <w:szCs w:val="30"/>
        </w:rPr>
        <w:t>5G</w:t>
      </w:r>
      <w:r>
        <w:rPr>
          <w:rFonts w:ascii="Times New Roman" w:eastAsia="仿宋" w:hAnsi="Times New Roman" w:cs="仿宋" w:hint="eastAsia"/>
          <w:bCs/>
          <w:snapToGrid w:val="0"/>
          <w:sz w:val="30"/>
          <w:szCs w:val="30"/>
        </w:rPr>
        <w:t>、人工智能、物联网等网络信息技术与实体经济深度融合，建设共享开放数据资源中心，加快布局发展数字经济，推动数字经济和三次产业深度融合，努力实现数字产业化和产业数字化。</w:t>
      </w:r>
    </w:p>
    <w:p w:rsidR="001328A6" w:rsidRDefault="001328A6">
      <w:pPr>
        <w:pBdr>
          <w:top w:val="none" w:sz="0" w:space="1" w:color="auto"/>
          <w:left w:val="none" w:sz="0" w:space="4" w:color="auto"/>
          <w:bottom w:val="none" w:sz="0" w:space="1" w:color="auto"/>
          <w:right w:val="none" w:sz="0" w:space="4" w:color="auto"/>
        </w:pBdr>
        <w:overflowPunct w:val="0"/>
        <w:spacing w:line="610" w:lineRule="exact"/>
        <w:jc w:val="center"/>
        <w:rPr>
          <w:rFonts w:ascii="Times New Roman" w:eastAsia="仿宋" w:hAnsi="Times New Roman" w:cs="仿宋"/>
          <w:bCs/>
          <w:sz w:val="30"/>
          <w:szCs w:val="30"/>
        </w:rPr>
      </w:pPr>
      <w:bookmarkStart w:id="177" w:name="_Toc30185"/>
    </w:p>
    <w:p w:rsidR="001328A6" w:rsidRDefault="007F3236">
      <w:pPr>
        <w:pBdr>
          <w:top w:val="none" w:sz="0" w:space="1" w:color="auto"/>
          <w:left w:val="none" w:sz="0" w:space="4" w:color="auto"/>
          <w:bottom w:val="none" w:sz="0" w:space="1" w:color="auto"/>
          <w:right w:val="none" w:sz="0" w:space="4" w:color="auto"/>
        </w:pBdr>
        <w:overflowPunct w:val="0"/>
        <w:spacing w:line="610" w:lineRule="exact"/>
        <w:jc w:val="center"/>
        <w:outlineLvl w:val="2"/>
        <w:rPr>
          <w:rFonts w:ascii="Times New Roman" w:eastAsia="楷体" w:hAnsi="Times New Roman" w:cs="楷体"/>
          <w:bCs/>
          <w:sz w:val="32"/>
          <w:szCs w:val="32"/>
        </w:rPr>
      </w:pPr>
      <w:bookmarkStart w:id="178" w:name="_Toc30168"/>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建设区域产业数据资源中心</w:t>
      </w:r>
      <w:bookmarkEnd w:id="177"/>
      <w:bookmarkEnd w:id="178"/>
    </w:p>
    <w:p w:rsidR="001328A6" w:rsidRDefault="001328A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仿宋"/>
          <w:bCs/>
          <w:snapToGrid w:val="0"/>
          <w:kern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snapToGrid w:val="0"/>
          <w:kern w:val="0"/>
          <w:sz w:val="30"/>
          <w:szCs w:val="30"/>
        </w:rPr>
        <w:t>完善数字基础设施。抓住自治区建设国家大数据基础设施统筹发展综合试验区的重大机遇，实施新型智慧城市试点工程，加快完善网络出口、通道带宽等信息网络设施。实施网络架构优化提升工程，提升</w:t>
      </w:r>
      <w:r>
        <w:rPr>
          <w:rFonts w:ascii="Times New Roman" w:eastAsia="仿宋" w:hAnsi="Times New Roman" w:cs="仿宋" w:hint="eastAsia"/>
          <w:bCs/>
          <w:snapToGrid w:val="0"/>
          <w:kern w:val="0"/>
          <w:sz w:val="30"/>
          <w:szCs w:val="30"/>
        </w:rPr>
        <w:t xml:space="preserve">5G </w:t>
      </w:r>
      <w:r>
        <w:rPr>
          <w:rFonts w:ascii="Times New Roman" w:eastAsia="仿宋" w:hAnsi="Times New Roman" w:cs="仿宋" w:hint="eastAsia"/>
          <w:bCs/>
          <w:snapToGrid w:val="0"/>
          <w:kern w:val="0"/>
          <w:sz w:val="30"/>
          <w:szCs w:val="30"/>
        </w:rPr>
        <w:t>网络覆盖广度和深度。</w:t>
      </w:r>
    </w:p>
    <w:p w:rsidR="001328A6" w:rsidRDefault="007F323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snapToGrid w:val="0"/>
          <w:kern w:val="0"/>
          <w:sz w:val="30"/>
          <w:szCs w:val="30"/>
        </w:rPr>
        <w:t>推进数据中心建设。加强与电信运营商、专业服务器制造企业、大型互联网企业及软件开发企业的战略合作，探索新型互联网交换中心建设及运营模式，加强数据中心项目建设，积极融入国家、自治区数据统一共享开放平台，力争将乌海打造成为区域产业数据资源中心。推动网络信息技术与工业经济深度融合，搭建乌海市产业经济数字化管理平台，强化对全市工业重点行业的监测分析，实现对工业企业的综合评价、智能监管。</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179" w:name="_Toc24089"/>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180" w:name="_Toc22426"/>
      <w:r>
        <w:rPr>
          <w:rFonts w:ascii="Times New Roman" w:eastAsia="楷体" w:hAnsi="Times New Roman" w:cs="楷体" w:hint="eastAsia"/>
          <w:bCs/>
          <w:sz w:val="32"/>
          <w:szCs w:val="32"/>
        </w:rPr>
        <w:lastRenderedPageBreak/>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推动产业数字化转型</w:t>
      </w:r>
      <w:bookmarkEnd w:id="179"/>
      <w:bookmarkEnd w:id="180"/>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610" w:lineRule="exact"/>
        <w:ind w:firstLineChars="200" w:firstLine="600"/>
        <w:rPr>
          <w:rFonts w:ascii="Times New Roman" w:eastAsia="仿宋" w:hAnsi="Times New Roman" w:cs="仿宋"/>
          <w:bCs/>
          <w:snapToGrid w:val="0"/>
          <w:kern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610"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snapToGrid w:val="0"/>
          <w:kern w:val="0"/>
          <w:sz w:val="30"/>
          <w:szCs w:val="30"/>
        </w:rPr>
        <w:t>加快工业数字化改造。以“</w:t>
      </w:r>
      <w:r>
        <w:rPr>
          <w:rFonts w:ascii="Times New Roman" w:eastAsia="仿宋" w:hAnsi="Times New Roman" w:cs="仿宋" w:hint="eastAsia"/>
          <w:bCs/>
          <w:snapToGrid w:val="0"/>
          <w:kern w:val="0"/>
          <w:sz w:val="30"/>
          <w:szCs w:val="30"/>
        </w:rPr>
        <w:t>5G+</w:t>
      </w:r>
      <w:r>
        <w:rPr>
          <w:rFonts w:ascii="Times New Roman" w:eastAsia="仿宋" w:hAnsi="Times New Roman" w:cs="仿宋" w:hint="eastAsia"/>
          <w:bCs/>
          <w:snapToGrid w:val="0"/>
          <w:kern w:val="0"/>
          <w:sz w:val="30"/>
          <w:szCs w:val="30"/>
        </w:rPr>
        <w:t>工业互联网”为重点，扩大数字技术在企业研发设计、生产加工、经营管理、物流售后等环境的应用，打造以数字驱动的动能转换新模式，加快形成智慧园区、智慧工厂、智慧矿山。加强工业园区智能化改造，依托各园区内重点企业建设工业互联网、大数据公共服务平台，建立全环节管理、全过程追溯的一体化生产体系，发展网络化协同制造、服务型制造等新型制造模式，建设产业链环环相扣，研发生产、质量控制、运行管理和运营服务全面互联的智能化工业园区。发展平台经济新业态，建设工业互联网平台，整合产品设计、生产工艺、设备运行、运营管理等数据资源，在制造企业中广泛运用二维码、工业传感器、工业自动控制系统等技术，开展数据集成、挖掘、分析、建模，提升工业大数据创新应用能力。</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610" w:lineRule="exact"/>
        <w:ind w:firstLineChars="200" w:firstLine="600"/>
        <w:rPr>
          <w:rFonts w:ascii="Times New Roman" w:eastAsia="仿宋_GB2312" w:hAnsi="Times New Roman" w:cs="Times New Roman"/>
          <w:bCs/>
          <w:snapToGrid w:val="0"/>
          <w:color w:val="000000" w:themeColor="text1"/>
          <w:kern w:val="0"/>
          <w:sz w:val="32"/>
          <w:szCs w:val="32"/>
        </w:rPr>
      </w:pPr>
      <w:r>
        <w:rPr>
          <w:rFonts w:ascii="Times New Roman" w:eastAsia="仿宋" w:hAnsi="Times New Roman" w:cs="仿宋" w:hint="eastAsia"/>
          <w:bCs/>
          <w:snapToGrid w:val="0"/>
          <w:color w:val="000000" w:themeColor="text1"/>
          <w:kern w:val="0"/>
          <w:sz w:val="30"/>
          <w:szCs w:val="30"/>
        </w:rPr>
        <w:t>提升服务业数字化水平。发展智慧旅游，提供安全、精准的旅游信息服务，提升涉旅企业品牌价值和服务质量。发展智慧康养，建立居民电子信息健康档案，提供专业健康咨询服务。发展智慧物流，应用统仓统配的物流技术降低各环节物流成本，提高物流整体效率。发展智慧商贸，打造集智能仓储配送系统、用户门店智慧管理系统、交易支付及结算系统等于一体的智慧商贸平台，鼓励发展无人零售、电商直供等零售新业态。发展智慧养老，构建面向居家</w:t>
      </w:r>
      <w:r>
        <w:rPr>
          <w:rFonts w:ascii="Times New Roman" w:eastAsia="仿宋" w:hAnsi="Times New Roman" w:cs="仿宋" w:hint="eastAsia"/>
          <w:bCs/>
          <w:snapToGrid w:val="0"/>
          <w:color w:val="000000" w:themeColor="text1"/>
          <w:kern w:val="0"/>
          <w:sz w:val="30"/>
          <w:szCs w:val="30"/>
        </w:rPr>
        <w:lastRenderedPageBreak/>
        <w:t>社区机构的养老服务信息平台，实现市、区、镇（街道）、村（社区）四级养老服务数据共享互通，运用养老大数据分析老年人各层次需求，提供快捷、精准的养老服务。</w:t>
      </w:r>
      <w:r>
        <w:rPr>
          <w:rFonts w:ascii="Times New Roman" w:eastAsia="仿宋_GB2312" w:hAnsi="Times New Roman" w:cs="Times New Roman"/>
          <w:bCs/>
          <w:snapToGrid w:val="0"/>
          <w:color w:val="000000" w:themeColor="text1"/>
          <w:kern w:val="0"/>
          <w:sz w:val="32"/>
          <w:szCs w:val="32"/>
        </w:rPr>
        <w:br w:type="page"/>
      </w:r>
    </w:p>
    <w:p w:rsidR="001328A6" w:rsidRDefault="007F3236">
      <w:pPr>
        <w:overflowPunct w:val="0"/>
        <w:spacing w:line="580" w:lineRule="exact"/>
        <w:jc w:val="center"/>
        <w:outlineLvl w:val="0"/>
        <w:rPr>
          <w:rFonts w:ascii="方正小标宋简体" w:eastAsia="方正小标宋简体" w:hAnsi="方正小标宋简体" w:cs="方正小标宋简体"/>
          <w:bCs/>
          <w:sz w:val="32"/>
          <w:szCs w:val="32"/>
        </w:rPr>
      </w:pPr>
      <w:bookmarkStart w:id="181" w:name="_Toc18424"/>
      <w:bookmarkStart w:id="182" w:name="_Toc9333"/>
      <w:r>
        <w:rPr>
          <w:rFonts w:ascii="方正小标宋简体" w:eastAsia="方正小标宋简体" w:hAnsi="方正小标宋简体" w:cs="方正小标宋简体" w:hint="eastAsia"/>
          <w:bCs/>
          <w:sz w:val="32"/>
          <w:szCs w:val="32"/>
        </w:rPr>
        <w:lastRenderedPageBreak/>
        <w:t>第四篇转换发展动能实现创新动力更足</w:t>
      </w:r>
      <w:bookmarkEnd w:id="181"/>
      <w:bookmarkEnd w:id="182"/>
    </w:p>
    <w:p w:rsidR="001328A6" w:rsidRDefault="001328A6">
      <w:pPr>
        <w:pStyle w:val="a0"/>
        <w:overflowPunct w:val="0"/>
        <w:spacing w:before="0" w:after="0" w:line="580" w:lineRule="exact"/>
        <w:outlineLvl w:val="9"/>
        <w:rPr>
          <w:rFonts w:ascii="Times New Roman" w:eastAsia="仿宋" w:hAnsi="Times New Roman" w:cs="仿宋"/>
          <w:b w:val="0"/>
          <w:color w:val="000000" w:themeColor="text1"/>
          <w:sz w:val="30"/>
          <w:szCs w:val="30"/>
        </w:rPr>
      </w:pPr>
      <w:bookmarkStart w:id="183" w:name="_Toc2281"/>
      <w:bookmarkStart w:id="184" w:name="_Toc21681"/>
      <w:bookmarkStart w:id="185" w:name="_Toc20468"/>
      <w:bookmarkStart w:id="186" w:name="_Toc55311650"/>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按照习近平总书记“推动转方式同创新驱动发展相结合，把转方式有效融入创新驱动发展之中”的重要指示要求，深入实施创新驱动发展战略，以实施“科技兴蒙”行动为统领，促进创新链与产业链、人才链、政策链、资金链深度融合，着力推动科技攻关和成果转化，切实促进经济发展从资源驱动向创新驱动转型，使科技创新成为引领发展的根本动力，着力打造区域创新城市，更好服务融入新发展格局。</w:t>
      </w:r>
    </w:p>
    <w:p w:rsidR="001328A6" w:rsidRDefault="001328A6">
      <w:pPr>
        <w:pStyle w:val="a0"/>
        <w:overflowPunct w:val="0"/>
        <w:spacing w:before="0" w:after="0" w:line="580" w:lineRule="exact"/>
        <w:outlineLvl w:val="9"/>
        <w:rPr>
          <w:rFonts w:ascii="Times New Roman" w:eastAsia="仿宋" w:hAnsi="Times New Roman" w:cs="仿宋"/>
          <w:b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1"/>
        <w:rPr>
          <w:rFonts w:ascii="Times New Roman" w:eastAsia="黑体" w:hAnsi="Times New Roman" w:cs="黑体"/>
          <w:bCs/>
          <w:sz w:val="32"/>
          <w:szCs w:val="32"/>
        </w:rPr>
      </w:pPr>
      <w:bookmarkStart w:id="187" w:name="_Toc523"/>
      <w:bookmarkStart w:id="188" w:name="_Toc13218"/>
      <w:r>
        <w:rPr>
          <w:rFonts w:ascii="Times New Roman" w:eastAsia="黑体" w:hAnsi="Times New Roman" w:cs="黑体" w:hint="eastAsia"/>
          <w:bCs/>
          <w:sz w:val="32"/>
          <w:szCs w:val="32"/>
        </w:rPr>
        <w:t>第十二章强化科技支撑</w:t>
      </w:r>
      <w:bookmarkEnd w:id="183"/>
      <w:bookmarkEnd w:id="184"/>
      <w:bookmarkEnd w:id="185"/>
      <w:bookmarkEnd w:id="186"/>
      <w:r>
        <w:rPr>
          <w:rFonts w:ascii="Times New Roman" w:eastAsia="黑体" w:hAnsi="Times New Roman" w:cs="黑体" w:hint="eastAsia"/>
          <w:bCs/>
          <w:sz w:val="32"/>
          <w:szCs w:val="32"/>
        </w:rPr>
        <w:t>推动重点领域技术创新</w:t>
      </w:r>
      <w:bookmarkEnd w:id="187"/>
      <w:bookmarkEnd w:id="188"/>
    </w:p>
    <w:p w:rsidR="001328A6" w:rsidRDefault="001328A6">
      <w:pPr>
        <w:pStyle w:val="a0"/>
        <w:overflowPunct w:val="0"/>
        <w:spacing w:before="0" w:after="0" w:line="580" w:lineRule="exact"/>
        <w:outlineLvl w:val="9"/>
        <w:rPr>
          <w:rFonts w:ascii="Times New Roman" w:eastAsia="仿宋" w:hAnsi="Times New Roman" w:cs="仿宋"/>
          <w:b w:val="0"/>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聚焦我市技术创新短板和经济社会发展需求，围绕产业链部署创新链，着力解决发展中的技术难题，强化科技创新对产业转型升级、污染防治、节能降耗等领域的带动支撑作用，促进全产业、各领域的创新。力争到</w:t>
      </w:r>
      <w:r>
        <w:rPr>
          <w:rFonts w:ascii="Times New Roman" w:eastAsia="仿宋" w:hAnsi="Times New Roman" w:cs="仿宋" w:hint="eastAsia"/>
          <w:bCs/>
          <w:color w:val="000000" w:themeColor="text1"/>
          <w:sz w:val="30"/>
          <w:szCs w:val="30"/>
        </w:rPr>
        <w:t>2025</w:t>
      </w:r>
      <w:r>
        <w:rPr>
          <w:rFonts w:ascii="Times New Roman" w:eastAsia="仿宋" w:hAnsi="Times New Roman" w:cs="仿宋" w:hint="eastAsia"/>
          <w:bCs/>
          <w:color w:val="000000" w:themeColor="text1"/>
          <w:sz w:val="30"/>
          <w:szCs w:val="30"/>
        </w:rPr>
        <w:t>年，全市每万人发明专利拥有量达到</w:t>
      </w:r>
      <w:r>
        <w:rPr>
          <w:rFonts w:ascii="Times New Roman" w:eastAsia="仿宋" w:hAnsi="Times New Roman" w:cs="仿宋" w:hint="eastAsia"/>
          <w:bCs/>
          <w:color w:val="000000" w:themeColor="text1"/>
          <w:sz w:val="30"/>
          <w:szCs w:val="30"/>
        </w:rPr>
        <w:t>3</w:t>
      </w:r>
      <w:r>
        <w:rPr>
          <w:rFonts w:ascii="Times New Roman" w:eastAsia="仿宋" w:hAnsi="Times New Roman" w:cs="仿宋" w:hint="eastAsia"/>
          <w:bCs/>
          <w:color w:val="000000" w:themeColor="text1"/>
          <w:sz w:val="30"/>
          <w:szCs w:val="30"/>
        </w:rPr>
        <w:t>件。</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189" w:name="_Toc3833"/>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190" w:name="_Toc323"/>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突破工业发展技术瓶颈</w:t>
      </w:r>
      <w:bookmarkEnd w:id="189"/>
      <w:bookmarkEnd w:id="190"/>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636"/>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636"/>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突破传统产业延伸耦合技术瓶颈。以促进我市传统优势特色产业延链补链强链作为主攻方向，应用大数据、区块链、人工智能等改造提升传统产业，突破煤焦化工、氯碱化工、氟硅化工延伸升级</w:t>
      </w:r>
      <w:r>
        <w:rPr>
          <w:rFonts w:ascii="Times New Roman" w:eastAsia="仿宋" w:hAnsi="Times New Roman" w:cs="仿宋" w:hint="eastAsia"/>
          <w:bCs/>
          <w:color w:val="000000" w:themeColor="text1"/>
          <w:sz w:val="30"/>
          <w:szCs w:val="30"/>
        </w:rPr>
        <w:lastRenderedPageBreak/>
        <w:t>关键技术，拓展煤基精细化工、材料化工产业链，推动产业链间耦合发展，形成具有较强竞争力的现代产业技术体系，构筑引领发展的支撑基点。</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636"/>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破解战略性新兴产业瓶颈制约。围绕高分子新材料、高性能硅基材料、化工新材料、煤焦化工新材料等高新技术领域，抓好部分优势特色产业的科技重大专项申报。聚焦氢能全产业链，部署氢制取、储运和应用的氢能技术创新链，围绕氢气加注加压技术和装备、加氢站设备、氢能燃料电池关键材料、氢气化工、氢基冶金、氢能整车制造</w:t>
      </w:r>
      <w:r>
        <w:rPr>
          <w:rFonts w:ascii="Times New Roman" w:eastAsia="仿宋" w:hAnsi="Times New Roman" w:cs="仿宋" w:hint="eastAsia"/>
          <w:bCs/>
          <w:sz w:val="30"/>
          <w:szCs w:val="30"/>
        </w:rPr>
        <w:t>、富氢内燃机</w:t>
      </w:r>
      <w:r>
        <w:rPr>
          <w:rFonts w:ascii="Times New Roman" w:eastAsia="仿宋" w:hAnsi="Times New Roman" w:cs="仿宋" w:hint="eastAsia"/>
          <w:bCs/>
          <w:color w:val="000000" w:themeColor="text1"/>
          <w:sz w:val="30"/>
          <w:szCs w:val="30"/>
        </w:rPr>
        <w:t>等环节开展技术攻关。</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636"/>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推进重点领域技术创新。统筹布局煤炭、电力、化工、冶金等领域技术创新，瞄准</w:t>
      </w:r>
      <w:r>
        <w:rPr>
          <w:rFonts w:ascii="Times New Roman" w:eastAsia="仿宋" w:hAnsi="Times New Roman" w:cs="仿宋" w:hint="eastAsia"/>
          <w:bCs/>
          <w:sz w:val="30"/>
          <w:szCs w:val="30"/>
        </w:rPr>
        <w:t>大规</w:t>
      </w:r>
      <w:r>
        <w:rPr>
          <w:rFonts w:ascii="Times New Roman" w:eastAsia="仿宋" w:hAnsi="Times New Roman" w:cs="仿宋" w:hint="eastAsia"/>
          <w:bCs/>
          <w:color w:val="000000" w:themeColor="text1"/>
          <w:sz w:val="30"/>
          <w:szCs w:val="30"/>
        </w:rPr>
        <w:t>模储能、碳捕集封存等领域，组织实施一批科技项目，开展前沿技术攻关。</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191" w:name="_Toc4106"/>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192" w:name="_Toc20910"/>
      <w:r>
        <w:rPr>
          <w:rFonts w:ascii="Times New Roman" w:eastAsia="楷体" w:hAnsi="Times New Roman" w:cs="楷体" w:hint="eastAsia"/>
          <w:bCs/>
          <w:sz w:val="32"/>
          <w:szCs w:val="32"/>
        </w:rPr>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加强节能减排技术研发</w:t>
      </w:r>
      <w:bookmarkEnd w:id="191"/>
      <w:bookmarkEnd w:id="192"/>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576"/>
        <w:rPr>
          <w:rFonts w:ascii="Times New Roman" w:eastAsia="仿宋" w:hAnsi="Times New Roman" w:cs="仿宋"/>
          <w:bCs/>
          <w:color w:val="000000" w:themeColor="text1"/>
          <w:spacing w:val="-6"/>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576"/>
        <w:rPr>
          <w:rFonts w:ascii="Times New Roman" w:eastAsia="仿宋" w:hAnsi="Times New Roman" w:cs="仿宋"/>
          <w:bCs/>
          <w:color w:val="000000" w:themeColor="text1"/>
          <w:spacing w:val="-6"/>
          <w:sz w:val="30"/>
          <w:szCs w:val="30"/>
        </w:rPr>
      </w:pPr>
      <w:r>
        <w:rPr>
          <w:rFonts w:ascii="Times New Roman" w:eastAsia="仿宋" w:hAnsi="Times New Roman" w:cs="仿宋" w:hint="eastAsia"/>
          <w:bCs/>
          <w:color w:val="000000" w:themeColor="text1"/>
          <w:spacing w:val="-6"/>
          <w:sz w:val="30"/>
          <w:szCs w:val="30"/>
        </w:rPr>
        <w:t>推进节能技术创新。根据我市及周边地区节能减排需求，以一批节能重大科技项目为牵引，着力打造新型清洁能源循环利用技术体系、节能服务技术体系。以</w:t>
      </w:r>
      <w:r>
        <w:rPr>
          <w:rFonts w:ascii="Times New Roman" w:eastAsia="仿宋" w:hAnsi="Times New Roman" w:cs="仿宋" w:hint="eastAsia"/>
          <w:bCs/>
          <w:spacing w:val="-6"/>
          <w:sz w:val="30"/>
          <w:szCs w:val="30"/>
        </w:rPr>
        <w:t>打造零碳城区为契机，推动</w:t>
      </w:r>
      <w:r>
        <w:rPr>
          <w:rFonts w:ascii="Times New Roman" w:eastAsia="仿宋" w:hAnsi="Times New Roman" w:cs="仿宋" w:hint="eastAsia"/>
          <w:bCs/>
          <w:color w:val="000000" w:themeColor="text1"/>
          <w:spacing w:val="-6"/>
          <w:sz w:val="30"/>
          <w:szCs w:val="30"/>
        </w:rPr>
        <w:t>建筑节能技术创新，开展地源热泵、水源热泵、空气源热泵、太阳能发电等新能源技术应用示范，发展被动式房屋等绿色节能建筑。</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推进污染防治技术创新。围绕煤电、焦化、氯碱化工等重点行业发展，突破挥发性有机污染物治理、工业锅炉烟气治理、多污染</w:t>
      </w:r>
      <w:r>
        <w:rPr>
          <w:rFonts w:ascii="Times New Roman" w:eastAsia="仿宋" w:hAnsi="Times New Roman" w:cs="仿宋" w:hint="eastAsia"/>
          <w:bCs/>
          <w:color w:val="000000" w:themeColor="text1"/>
          <w:sz w:val="30"/>
          <w:szCs w:val="30"/>
        </w:rPr>
        <w:lastRenderedPageBreak/>
        <w:t>物协同控制、污染物回收及高值化利用等技术，探索大气环境约束条件下优化产业结构、明确工业园区发展重点和大型企业布局策略，完善大气污染源减排、监测、预报、预警技术体系。</w:t>
      </w:r>
    </w:p>
    <w:p w:rsidR="001328A6" w:rsidRDefault="001328A6">
      <w:pPr>
        <w:pStyle w:val="a0"/>
        <w:overflowPunct w:val="0"/>
        <w:spacing w:before="0" w:after="0" w:line="580" w:lineRule="exact"/>
        <w:outlineLvl w:val="9"/>
        <w:rPr>
          <w:rFonts w:ascii="Times New Roman" w:eastAsia="仿宋" w:hAnsi="Times New Roman" w:cs="仿宋"/>
          <w:b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1"/>
        <w:rPr>
          <w:rFonts w:ascii="Times New Roman" w:eastAsia="黑体" w:hAnsi="Times New Roman" w:cs="黑体"/>
          <w:bCs/>
          <w:sz w:val="32"/>
          <w:szCs w:val="32"/>
        </w:rPr>
      </w:pPr>
      <w:bookmarkStart w:id="193" w:name="_Toc2677"/>
      <w:bookmarkStart w:id="194" w:name="_Toc13048"/>
      <w:r>
        <w:rPr>
          <w:rFonts w:ascii="Times New Roman" w:eastAsia="黑体" w:hAnsi="Times New Roman" w:cs="黑体" w:hint="eastAsia"/>
          <w:bCs/>
          <w:sz w:val="32"/>
          <w:szCs w:val="32"/>
        </w:rPr>
        <w:t>第十三章</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完善创新体系强化科技创新支撑保障</w:t>
      </w:r>
      <w:bookmarkEnd w:id="193"/>
      <w:bookmarkEnd w:id="194"/>
    </w:p>
    <w:p w:rsidR="001328A6" w:rsidRDefault="001328A6">
      <w:pPr>
        <w:pStyle w:val="a0"/>
        <w:overflowPunct w:val="0"/>
        <w:spacing w:before="0" w:after="0" w:line="580" w:lineRule="exact"/>
        <w:outlineLvl w:val="9"/>
        <w:rPr>
          <w:rFonts w:ascii="Times New Roman" w:eastAsia="仿宋" w:hAnsi="Times New Roman" w:cs="仿宋"/>
          <w:b w:val="0"/>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加快完善科技创新体制，搭建科技创新平台，建立以企业为主体、市场为导向、产学研用深度融合的技术创新体系，支持各类市场主体融通创新，完善科技创新政策保障机制。</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195" w:name="_Toc55311651"/>
      <w:bookmarkStart w:id="196" w:name="_Toc715"/>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197" w:name="_Toc23597"/>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创新体制机制</w:t>
      </w:r>
      <w:bookmarkEnd w:id="195"/>
      <w:bookmarkEnd w:id="196"/>
      <w:bookmarkEnd w:id="197"/>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健全科技投入稳定增长机制。建立政府科技投入刚性增长机制，发挥财政资金“四两拨千斤”</w:t>
      </w:r>
      <w:r>
        <w:rPr>
          <w:rFonts w:ascii="Times New Roman" w:eastAsia="仿宋" w:hAnsi="Times New Roman" w:cs="仿宋" w:hint="eastAsia"/>
          <w:bCs/>
          <w:sz w:val="30"/>
          <w:szCs w:val="30"/>
        </w:rPr>
        <w:t>作用，引导企业加大研发投入，设立乌海市科技创新引导基金，带动更多社会和民间资本投入。落实税费减免补贴等优</w:t>
      </w:r>
      <w:r>
        <w:rPr>
          <w:rFonts w:ascii="Times New Roman" w:eastAsia="仿宋" w:hAnsi="Times New Roman" w:cs="仿宋" w:hint="eastAsia"/>
          <w:bCs/>
          <w:color w:val="000000" w:themeColor="text1"/>
          <w:sz w:val="30"/>
          <w:szCs w:val="30"/>
        </w:rPr>
        <w:t>惠政策，培育发展科技金融，加快形成多元化、多层次、多渠道的融资保障体系。</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改进科技项目组织管理方式。改革和创新科研经费使用和管理方式，整合财政科研投入体制，改变部门分割、小而散的状态。建立以需求和绩效为导向的科技经费管理体制，综合运用择优委托、揭榜挂帅等方式，拓展科技计划项目来源。健全科研经费监督管理机制，提高科研项目资金管理效率和使用效益。依法赋予创新人才</w:t>
      </w:r>
      <w:r>
        <w:rPr>
          <w:rFonts w:ascii="Times New Roman" w:eastAsia="仿宋" w:hAnsi="Times New Roman" w:cs="仿宋" w:hint="eastAsia"/>
          <w:bCs/>
          <w:color w:val="000000" w:themeColor="text1"/>
          <w:sz w:val="30"/>
          <w:szCs w:val="30"/>
        </w:rPr>
        <w:lastRenderedPageBreak/>
        <w:t>更大人财物支配权、技术路线决策权，激发广大科研人员的积极性、主动性和创造性。</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198" w:name="_Toc55311652"/>
      <w:bookmarkStart w:id="199" w:name="_Toc434"/>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200" w:name="_Toc27459"/>
      <w:r>
        <w:rPr>
          <w:rFonts w:ascii="Times New Roman" w:eastAsia="楷体" w:hAnsi="Times New Roman" w:cs="楷体" w:hint="eastAsia"/>
          <w:bCs/>
          <w:sz w:val="32"/>
          <w:szCs w:val="32"/>
        </w:rPr>
        <w:t>第二节</w:t>
      </w:r>
      <w:r>
        <w:rPr>
          <w:rFonts w:ascii="Times New Roman" w:eastAsia="楷体" w:hAnsi="Times New Roman" w:cs="楷体" w:hint="eastAsia"/>
          <w:bCs/>
          <w:sz w:val="32"/>
          <w:szCs w:val="32"/>
        </w:rPr>
        <w:t xml:space="preserve"> </w:t>
      </w:r>
      <w:bookmarkEnd w:id="198"/>
      <w:r>
        <w:rPr>
          <w:rFonts w:ascii="Times New Roman" w:eastAsia="楷体" w:hAnsi="Times New Roman" w:cs="楷体" w:hint="eastAsia"/>
          <w:bCs/>
          <w:sz w:val="32"/>
          <w:szCs w:val="32"/>
        </w:rPr>
        <w:t>建立技术创新联盟</w:t>
      </w:r>
      <w:bookmarkEnd w:id="199"/>
      <w:bookmarkEnd w:id="200"/>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加强科技创新平台建设。</w:t>
      </w:r>
      <w:r>
        <w:rPr>
          <w:rFonts w:ascii="Times New Roman" w:eastAsia="仿宋" w:hAnsi="Times New Roman" w:cs="仿宋" w:hint="eastAsia"/>
          <w:bCs/>
          <w:sz w:val="30"/>
          <w:szCs w:val="30"/>
        </w:rPr>
        <w:t>依托各工业园区，围绕煤焦和氯碱两大优势产业、新能源新材料基地建设，大力推动自治区级高新技术产业开发区建设，着力创建国家级高新区。积极创建国家级和自治区级创新平台，进一步提升科技研发平台技术创新能力，建设乌海市科技创新中心二期，推动自治区级氢能技术创新中心筹备建设，</w:t>
      </w:r>
      <w:r>
        <w:rPr>
          <w:rFonts w:ascii="Times New Roman" w:eastAsia="仿宋" w:hAnsi="Times New Roman" w:cs="仿宋" w:hint="eastAsia"/>
          <w:bCs/>
          <w:color w:val="000000" w:themeColor="text1"/>
          <w:sz w:val="30"/>
          <w:szCs w:val="30"/>
        </w:rPr>
        <w:t>建立内蒙古知识产权及精细化工一站式服务平台，联合共建“乌海市工业固废资源化利用技术实验室及转移孵化中心”，力争到</w:t>
      </w:r>
      <w:r>
        <w:rPr>
          <w:rFonts w:ascii="Times New Roman" w:eastAsia="仿宋" w:hAnsi="Times New Roman" w:cs="仿宋" w:hint="eastAsia"/>
          <w:bCs/>
          <w:color w:val="000000" w:themeColor="text1"/>
          <w:sz w:val="30"/>
          <w:szCs w:val="30"/>
        </w:rPr>
        <w:t>2025</w:t>
      </w:r>
      <w:r>
        <w:rPr>
          <w:rFonts w:ascii="Times New Roman" w:eastAsia="仿宋" w:hAnsi="Times New Roman" w:cs="仿宋" w:hint="eastAsia"/>
          <w:bCs/>
          <w:color w:val="000000" w:themeColor="text1"/>
          <w:sz w:val="30"/>
          <w:szCs w:val="30"/>
        </w:rPr>
        <w:t>年，建成</w:t>
      </w:r>
      <w:r>
        <w:rPr>
          <w:rFonts w:ascii="Times New Roman" w:eastAsia="仿宋" w:hAnsi="Times New Roman" w:cs="仿宋" w:hint="eastAsia"/>
          <w:bCs/>
          <w:sz w:val="30"/>
          <w:szCs w:val="30"/>
        </w:rPr>
        <w:t>自治区级重点实验室</w:t>
      </w:r>
      <w:r>
        <w:rPr>
          <w:rFonts w:ascii="Times New Roman" w:eastAsia="仿宋" w:hAnsi="Times New Roman" w:cs="仿宋" w:hint="eastAsia"/>
          <w:bCs/>
          <w:sz w:val="30"/>
          <w:szCs w:val="30"/>
        </w:rPr>
        <w:t>2</w:t>
      </w:r>
      <w:r>
        <w:rPr>
          <w:rFonts w:ascii="Times New Roman" w:eastAsia="仿宋" w:hAnsi="Times New Roman" w:cs="仿宋" w:hint="eastAsia"/>
          <w:bCs/>
          <w:sz w:val="30"/>
          <w:szCs w:val="30"/>
        </w:rPr>
        <w:t>家、</w:t>
      </w:r>
      <w:r>
        <w:rPr>
          <w:rFonts w:ascii="Times New Roman" w:eastAsia="仿宋" w:hAnsi="Times New Roman" w:cs="仿宋" w:hint="eastAsia"/>
          <w:bCs/>
          <w:color w:val="000000" w:themeColor="text1"/>
          <w:sz w:val="30"/>
          <w:szCs w:val="30"/>
        </w:rPr>
        <w:t>自治区级研发中心</w:t>
      </w:r>
      <w:r>
        <w:rPr>
          <w:rFonts w:ascii="Times New Roman" w:eastAsia="仿宋" w:hAnsi="Times New Roman" w:cs="仿宋" w:hint="eastAsia"/>
          <w:bCs/>
          <w:color w:val="000000" w:themeColor="text1"/>
          <w:sz w:val="30"/>
          <w:szCs w:val="30"/>
        </w:rPr>
        <w:t>31</w:t>
      </w:r>
      <w:r>
        <w:rPr>
          <w:rFonts w:ascii="Times New Roman" w:eastAsia="仿宋" w:hAnsi="Times New Roman" w:cs="仿宋" w:hint="eastAsia"/>
          <w:bCs/>
          <w:color w:val="000000" w:themeColor="text1"/>
          <w:sz w:val="30"/>
          <w:szCs w:val="30"/>
        </w:rPr>
        <w:t>家、</w:t>
      </w:r>
      <w:r>
        <w:rPr>
          <w:rFonts w:ascii="Times New Roman" w:eastAsia="仿宋" w:hAnsi="Times New Roman" w:cs="仿宋" w:hint="eastAsia"/>
          <w:bCs/>
          <w:sz w:val="30"/>
          <w:szCs w:val="30"/>
        </w:rPr>
        <w:t>自治区级工程研究中心</w:t>
      </w:r>
      <w:r>
        <w:rPr>
          <w:rFonts w:ascii="Times New Roman" w:eastAsia="仿宋" w:hAnsi="Times New Roman" w:cs="仿宋" w:hint="eastAsia"/>
          <w:bCs/>
          <w:sz w:val="30"/>
          <w:szCs w:val="30"/>
        </w:rPr>
        <w:t>5</w:t>
      </w:r>
      <w:r>
        <w:rPr>
          <w:rFonts w:ascii="Times New Roman" w:eastAsia="仿宋" w:hAnsi="Times New Roman" w:cs="仿宋" w:hint="eastAsia"/>
          <w:bCs/>
          <w:sz w:val="30"/>
          <w:szCs w:val="30"/>
        </w:rPr>
        <w:t>家</w:t>
      </w:r>
      <w:r>
        <w:rPr>
          <w:rFonts w:ascii="Times New Roman" w:eastAsia="仿宋" w:hAnsi="Times New Roman" w:cs="仿宋" w:hint="eastAsia"/>
          <w:bCs/>
          <w:color w:val="000000" w:themeColor="text1"/>
          <w:sz w:val="30"/>
          <w:szCs w:val="30"/>
        </w:rPr>
        <w:t>。不断完善工业园区、创新基地、公共研发平台、孵化器、众创空间等不同层次、互为补充的创新平台体系，切实发挥科技创新在支撑特色产业发展等方面的引领作用。</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深化产学研用协同创新。加强与北京大学、清华大学、兰州大学等高等院校和各类科研院所合作，依托“科技兴蒙”行动，在人才引进、成果转化方面建立“</w:t>
      </w:r>
      <w:r>
        <w:rPr>
          <w:rFonts w:ascii="Times New Roman" w:eastAsia="仿宋" w:hAnsi="Times New Roman" w:cs="仿宋" w:hint="eastAsia"/>
          <w:bCs/>
          <w:color w:val="000000" w:themeColor="text1"/>
          <w:sz w:val="30"/>
          <w:szCs w:val="30"/>
        </w:rPr>
        <w:t>4+8+N</w:t>
      </w:r>
      <w:r>
        <w:rPr>
          <w:rFonts w:ascii="Times New Roman" w:eastAsia="仿宋" w:hAnsi="Times New Roman" w:cs="仿宋" w:hint="eastAsia"/>
          <w:bCs/>
          <w:color w:val="000000" w:themeColor="text1"/>
          <w:sz w:val="30"/>
          <w:szCs w:val="30"/>
        </w:rPr>
        <w:t>”长期、稳定合作机制，开展联合攻关、成果转化、平台建设、人才培养等合作，支持高校、科研院所在企业建立研发和成果转化基地、博士后科研工作站，打造协同创新联合体。推广顾问指导兼职服务、“候鸟式”聘任等方式，</w:t>
      </w:r>
      <w:r>
        <w:rPr>
          <w:rFonts w:ascii="Times New Roman" w:eastAsia="仿宋" w:hAnsi="Times New Roman" w:cs="仿宋" w:hint="eastAsia"/>
          <w:bCs/>
          <w:color w:val="000000" w:themeColor="text1"/>
          <w:sz w:val="30"/>
          <w:szCs w:val="30"/>
        </w:rPr>
        <w:lastRenderedPageBreak/>
        <w:t>推动“异地孵化、乌海转化”中心建设，探索“研发在北上广、转化在乌海”的引才模式，积极构建“人才飞地”。</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201" w:name="_Toc12598"/>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202" w:name="_Toc2065"/>
      <w:r>
        <w:rPr>
          <w:rFonts w:ascii="Times New Roman" w:eastAsia="楷体" w:hAnsi="Times New Roman" w:cs="楷体" w:hint="eastAsia"/>
          <w:bCs/>
          <w:sz w:val="32"/>
          <w:szCs w:val="32"/>
        </w:rPr>
        <w:t>第三节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强化企业创新主体地位</w:t>
      </w:r>
      <w:bookmarkEnd w:id="201"/>
      <w:bookmarkEnd w:id="202"/>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发挥大企业引领支撑作用。进一步强化企业创新主体地位，促进各类创新要素向企业集聚，切实发挥大型企业创新骨干作用，鼓励大型企业加大研发和技改投入，完善突出以创新为导向的国有企业考核与激励机制，积极推动企业研发费用税前加计扣除、高新技术企业所得税减免等政策落实。实施“高企倍增提质计划”，推动规模以上工业企业加强研发机构建设，支持企业承担或参与国家、自治区重大专项、重大科技攻关等研发任务，努力培育一批掌握产业“专精特新”技术的企业，进一步扩大高新技术企业数量，力争到</w:t>
      </w:r>
      <w:r>
        <w:rPr>
          <w:rFonts w:ascii="Times New Roman" w:eastAsia="仿宋" w:hAnsi="Times New Roman" w:cs="仿宋" w:hint="eastAsia"/>
          <w:bCs/>
          <w:color w:val="000000" w:themeColor="text1"/>
          <w:sz w:val="30"/>
          <w:szCs w:val="30"/>
        </w:rPr>
        <w:t>2025</w:t>
      </w:r>
      <w:r>
        <w:rPr>
          <w:rFonts w:ascii="Times New Roman" w:eastAsia="仿宋" w:hAnsi="Times New Roman" w:cs="仿宋" w:hint="eastAsia"/>
          <w:bCs/>
          <w:color w:val="000000" w:themeColor="text1"/>
          <w:sz w:val="30"/>
          <w:szCs w:val="30"/>
        </w:rPr>
        <w:t>年，</w:t>
      </w:r>
      <w:r>
        <w:rPr>
          <w:rFonts w:ascii="Times New Roman" w:eastAsia="仿宋" w:hAnsi="Times New Roman" w:cs="仿宋" w:hint="eastAsia"/>
          <w:bCs/>
          <w:sz w:val="30"/>
          <w:szCs w:val="30"/>
        </w:rPr>
        <w:t>全市自治区科创板块挂牌企业达到</w:t>
      </w:r>
      <w:r>
        <w:rPr>
          <w:rFonts w:ascii="Times New Roman" w:eastAsia="仿宋" w:hAnsi="Times New Roman" w:cs="仿宋" w:hint="eastAsia"/>
          <w:bCs/>
          <w:sz w:val="30"/>
          <w:szCs w:val="30"/>
        </w:rPr>
        <w:t>3</w:t>
      </w:r>
      <w:r>
        <w:rPr>
          <w:rFonts w:ascii="Times New Roman" w:eastAsia="仿宋" w:hAnsi="Times New Roman" w:cs="仿宋" w:hint="eastAsia"/>
          <w:bCs/>
          <w:sz w:val="30"/>
          <w:szCs w:val="30"/>
        </w:rPr>
        <w:t>家、高新技术企业达到</w:t>
      </w:r>
      <w:r>
        <w:rPr>
          <w:rFonts w:ascii="Times New Roman" w:eastAsia="仿宋" w:hAnsi="Times New Roman" w:cs="仿宋" w:hint="eastAsia"/>
          <w:bCs/>
          <w:sz w:val="30"/>
          <w:szCs w:val="30"/>
        </w:rPr>
        <w:t>50</w:t>
      </w:r>
      <w:r>
        <w:rPr>
          <w:rFonts w:ascii="Times New Roman" w:eastAsia="仿宋" w:hAnsi="Times New Roman" w:cs="仿宋" w:hint="eastAsia"/>
          <w:bCs/>
          <w:sz w:val="30"/>
          <w:szCs w:val="30"/>
        </w:rPr>
        <w:t>家。</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支持中小微企</w:t>
      </w:r>
      <w:r>
        <w:rPr>
          <w:rFonts w:ascii="Times New Roman" w:eastAsia="仿宋" w:hAnsi="Times New Roman" w:cs="仿宋" w:hint="eastAsia"/>
          <w:bCs/>
          <w:color w:val="000000" w:themeColor="text1"/>
          <w:spacing w:val="6"/>
          <w:sz w:val="30"/>
          <w:szCs w:val="30"/>
        </w:rPr>
        <w:t>业开展科技创新。积极推动中小微企业普惠性税收减免、科技成果质押融资、技术交易后补助等政策落实，加大对科技型中小微企业重大创新技术、产品和服务采购力度，充分挖掘其潜能，使创新型中小微企业成长为创新重要发源地。完善科技型企业和高新技术企业培育机制，支持通过众创、众包、众扶、众筹等途径，孵化和培育一批具有竞争力的科技型创业团队和中小企业。力争到</w:t>
      </w:r>
      <w:r>
        <w:rPr>
          <w:rFonts w:ascii="Times New Roman" w:eastAsia="仿宋" w:hAnsi="Times New Roman" w:cs="仿宋" w:hint="eastAsia"/>
          <w:bCs/>
          <w:color w:val="000000" w:themeColor="text1"/>
          <w:spacing w:val="6"/>
          <w:sz w:val="30"/>
          <w:szCs w:val="30"/>
        </w:rPr>
        <w:t>2025</w:t>
      </w:r>
      <w:r>
        <w:rPr>
          <w:rFonts w:ascii="Times New Roman" w:eastAsia="仿宋" w:hAnsi="Times New Roman" w:cs="仿宋" w:hint="eastAsia"/>
          <w:bCs/>
          <w:color w:val="000000" w:themeColor="text1"/>
          <w:spacing w:val="6"/>
          <w:sz w:val="30"/>
          <w:szCs w:val="30"/>
        </w:rPr>
        <w:t>年，全市科技型中小企业达到</w:t>
      </w:r>
      <w:r>
        <w:rPr>
          <w:rFonts w:ascii="Times New Roman" w:eastAsia="仿宋" w:hAnsi="Times New Roman" w:cs="仿宋" w:hint="eastAsia"/>
          <w:bCs/>
          <w:color w:val="000000" w:themeColor="text1"/>
          <w:spacing w:val="6"/>
          <w:sz w:val="30"/>
          <w:szCs w:val="30"/>
        </w:rPr>
        <w:t>17</w:t>
      </w:r>
      <w:r>
        <w:rPr>
          <w:rFonts w:ascii="Times New Roman" w:eastAsia="仿宋" w:hAnsi="Times New Roman" w:cs="仿宋" w:hint="eastAsia"/>
          <w:bCs/>
          <w:color w:val="000000" w:themeColor="text1"/>
          <w:spacing w:val="6"/>
          <w:sz w:val="30"/>
          <w:szCs w:val="30"/>
        </w:rPr>
        <w:t>家。</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lastRenderedPageBreak/>
        <w:t>加强企业间融通创新。支持企业联合金融机构、高校、科研院所和行业上下游构建产业协同创新共同体，加强共性技术平台建设，支持企业间在产品研发设计、生产加工等方面开展创新合作，推动产业链上中下游、大中小企业融通创新。支持以大型企业为龙头，以产业链关键产品、创新链关键技术为核心，集成大中小企业、研发和服务机构等，引进完善上下游产业链，培育若干自治区级创新型产业集群。</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203" w:name="_Toc12850"/>
      <w:bookmarkStart w:id="204" w:name="_Toc55311653"/>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205" w:name="_Toc21732"/>
      <w:r>
        <w:rPr>
          <w:rFonts w:ascii="Times New Roman" w:eastAsia="楷体" w:hAnsi="Times New Roman" w:cs="楷体" w:hint="eastAsia"/>
          <w:bCs/>
          <w:sz w:val="32"/>
          <w:szCs w:val="32"/>
        </w:rPr>
        <w:t>第四节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加强科技成果转化</w:t>
      </w:r>
      <w:bookmarkEnd w:id="203"/>
      <w:bookmarkEnd w:id="204"/>
      <w:bookmarkEnd w:id="205"/>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推动科技成果转化平台体系建设。鼓励企业和社会资本参与，推动科技成果转移转化示范区、示范基地、专业化技术研发与中试公共服务平台建设，建设乌海市科技成果转化中心，支持乌海市科技创新中心创建自治区级科技成果转移转化基地。支持工业园区建设科技成果中试工程化服务平台，探索建立风险分担机制，支持重大创新成果在我市落地转化并实现产品化、产业化。构建集聚科技成果、知识产权、资金、人才、服务等创新要素的科技创新成果交易平台、技术成果转化交易平台，及时发布重大科技成果和重大科技需求，健全成果转化服务链条，不断提升科技成果转化服务能力。多渠道开展技术转移对接，最大限度推动优秀科研成果在乌海落地生根、开花结果。</w:t>
      </w:r>
    </w:p>
    <w:p w:rsidR="001328A6" w:rsidRDefault="007F3236">
      <w:pPr>
        <w:pBdr>
          <w:top w:val="none" w:sz="0" w:space="1" w:color="auto"/>
          <w:left w:val="none" w:sz="0" w:space="4" w:color="auto"/>
          <w:bottom w:val="none" w:sz="0" w:space="1" w:color="auto"/>
          <w:right w:val="none" w:sz="0" w:space="4" w:color="auto"/>
        </w:pBdr>
        <w:overflowPunct w:val="0"/>
        <w:spacing w:line="556"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培育发展技术转移机构和技术经理人。鼓励和支持专业化技术</w:t>
      </w:r>
      <w:r>
        <w:rPr>
          <w:rFonts w:ascii="Times New Roman" w:eastAsia="仿宋" w:hAnsi="Times New Roman" w:cs="仿宋" w:hint="eastAsia"/>
          <w:bCs/>
          <w:color w:val="000000" w:themeColor="text1"/>
          <w:sz w:val="30"/>
          <w:szCs w:val="30"/>
        </w:rPr>
        <w:lastRenderedPageBreak/>
        <w:t>转移服务机构建设，大力发展科技中介机构，鼓励国内高校、科研院所、科技企业来我市设立技术转移服务分中心或工</w:t>
      </w:r>
      <w:r>
        <w:rPr>
          <w:rFonts w:ascii="Times New Roman" w:eastAsia="仿宋" w:hAnsi="Times New Roman" w:cs="仿宋" w:hint="eastAsia"/>
          <w:bCs/>
          <w:sz w:val="30"/>
          <w:szCs w:val="30"/>
        </w:rPr>
        <w:t>作站。建设自治区级技术交易平台，建成内蒙古乌海技术交易大市场。大</w:t>
      </w:r>
      <w:r>
        <w:rPr>
          <w:rFonts w:ascii="Times New Roman" w:eastAsia="仿宋" w:hAnsi="Times New Roman" w:cs="仿宋" w:hint="eastAsia"/>
          <w:bCs/>
          <w:color w:val="000000" w:themeColor="text1"/>
          <w:sz w:val="30"/>
          <w:szCs w:val="30"/>
        </w:rPr>
        <w:t>力培养科技咨询师、技术经纪人、技术经理人、技术转移管理者等科技成果转化人才，支持开展技术转移服务。</w:t>
      </w:r>
    </w:p>
    <w:p w:rsidR="001328A6" w:rsidRDefault="007F3236">
      <w:pPr>
        <w:pBdr>
          <w:top w:val="none" w:sz="0" w:space="1" w:color="auto"/>
          <w:left w:val="none" w:sz="0" w:space="4" w:color="auto"/>
          <w:bottom w:val="none" w:sz="0" w:space="1" w:color="auto"/>
          <w:right w:val="none" w:sz="0" w:space="4" w:color="auto"/>
        </w:pBdr>
        <w:overflowPunct w:val="0"/>
        <w:spacing w:line="556"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加强知识产权保护。加快引进和培育知识产权中介服务机构，支持企业开展专利申请和知识产权交易，培育一批拥有自主知识产权和自主品牌的知识产权密集型企业。加强知识产权保护机构建设，实行严格的知识产权保护制度，建立案件快速受理和科学分流机制，提供快速审查、快速确权、快速维权“一站式”纠纷解决方案。</w:t>
      </w:r>
    </w:p>
    <w:p w:rsidR="001328A6" w:rsidRDefault="001328A6">
      <w:pPr>
        <w:pBdr>
          <w:top w:val="none" w:sz="0" w:space="1" w:color="auto"/>
          <w:left w:val="none" w:sz="0" w:space="4" w:color="auto"/>
          <w:bottom w:val="none" w:sz="0" w:space="1" w:color="auto"/>
          <w:right w:val="none" w:sz="0" w:space="4" w:color="auto"/>
        </w:pBdr>
        <w:overflowPunct w:val="0"/>
        <w:spacing w:line="556" w:lineRule="exact"/>
        <w:jc w:val="center"/>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6" w:lineRule="exact"/>
        <w:jc w:val="center"/>
        <w:outlineLvl w:val="1"/>
        <w:rPr>
          <w:rFonts w:ascii="Times New Roman" w:eastAsia="黑体" w:hAnsi="Times New Roman" w:cs="黑体"/>
          <w:bCs/>
          <w:sz w:val="32"/>
          <w:szCs w:val="32"/>
        </w:rPr>
      </w:pPr>
      <w:bookmarkStart w:id="206" w:name="_Toc1040"/>
      <w:bookmarkStart w:id="207" w:name="_Toc16489"/>
      <w:r>
        <w:rPr>
          <w:rFonts w:ascii="Times New Roman" w:eastAsia="黑体" w:hAnsi="Times New Roman" w:cs="黑体" w:hint="eastAsia"/>
          <w:bCs/>
          <w:sz w:val="32"/>
          <w:szCs w:val="32"/>
        </w:rPr>
        <w:t>第十四章</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壮大人才队伍激发人才创新活力</w:t>
      </w:r>
      <w:bookmarkEnd w:id="206"/>
      <w:bookmarkEnd w:id="207"/>
    </w:p>
    <w:p w:rsidR="001328A6" w:rsidRDefault="001328A6">
      <w:pPr>
        <w:pStyle w:val="a0"/>
        <w:overflowPunct w:val="0"/>
        <w:spacing w:before="0" w:after="0" w:line="556" w:lineRule="exact"/>
        <w:outlineLvl w:val="9"/>
        <w:rPr>
          <w:rFonts w:ascii="Times New Roman" w:eastAsia="仿宋" w:hAnsi="Times New Roman" w:cs="仿宋"/>
          <w:b w:val="0"/>
          <w:color w:val="000000" w:themeColor="text1"/>
          <w:sz w:val="30"/>
          <w:szCs w:val="30"/>
        </w:rPr>
      </w:pPr>
      <w:bookmarkStart w:id="208" w:name="_Toc55311654"/>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56"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深入实施“人才强市”计划，着力构建与实体经济、技术创新、现代金融协同发展的多层次人力资源保障体系，加强对人才的政治引领和政治吸纳，弘扬科学精神和工匠精神，营造鼓励创新、激励创新、包容创新的社会氛围，实现人才结构、规模和创新能力与我市经济社会发展需要基本适应。</w:t>
      </w:r>
    </w:p>
    <w:p w:rsidR="001328A6" w:rsidRDefault="001328A6">
      <w:pPr>
        <w:pBdr>
          <w:top w:val="none" w:sz="0" w:space="1" w:color="auto"/>
          <w:left w:val="none" w:sz="0" w:space="4" w:color="auto"/>
          <w:bottom w:val="none" w:sz="0" w:space="1" w:color="auto"/>
          <w:right w:val="none" w:sz="0" w:space="4" w:color="auto"/>
        </w:pBdr>
        <w:overflowPunct w:val="0"/>
        <w:spacing w:line="556" w:lineRule="exact"/>
        <w:jc w:val="center"/>
        <w:outlineLvl w:val="2"/>
        <w:rPr>
          <w:rFonts w:ascii="Times New Roman" w:eastAsia="楷体" w:hAnsi="Times New Roman" w:cs="楷体"/>
          <w:bCs/>
          <w:sz w:val="32"/>
          <w:szCs w:val="32"/>
        </w:rPr>
      </w:pPr>
      <w:bookmarkStart w:id="209" w:name="_Toc17841"/>
      <w:bookmarkStart w:id="210" w:name="_Toc5326"/>
    </w:p>
    <w:p w:rsidR="001328A6" w:rsidRDefault="007F3236">
      <w:pPr>
        <w:pBdr>
          <w:top w:val="none" w:sz="0" w:space="1" w:color="auto"/>
          <w:left w:val="none" w:sz="0" w:space="4" w:color="auto"/>
          <w:bottom w:val="none" w:sz="0" w:space="1" w:color="auto"/>
          <w:right w:val="none" w:sz="0" w:space="4" w:color="auto"/>
        </w:pBdr>
        <w:overflowPunct w:val="0"/>
        <w:spacing w:line="556" w:lineRule="exact"/>
        <w:jc w:val="center"/>
        <w:outlineLvl w:val="2"/>
        <w:rPr>
          <w:rFonts w:ascii="Times New Roman" w:eastAsia="楷体" w:hAnsi="Times New Roman" w:cs="楷体"/>
          <w:bCs/>
          <w:sz w:val="32"/>
          <w:szCs w:val="32"/>
        </w:rPr>
      </w:pPr>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bookmarkEnd w:id="208"/>
      <w:r>
        <w:rPr>
          <w:rFonts w:ascii="Times New Roman" w:eastAsia="楷体" w:hAnsi="Times New Roman" w:cs="楷体" w:hint="eastAsia"/>
          <w:bCs/>
          <w:sz w:val="32"/>
          <w:szCs w:val="32"/>
        </w:rPr>
        <w:t>建设适应发展的人才队伍</w:t>
      </w:r>
      <w:bookmarkEnd w:id="209"/>
      <w:bookmarkEnd w:id="210"/>
    </w:p>
    <w:p w:rsidR="001328A6" w:rsidRDefault="001328A6">
      <w:pPr>
        <w:pBdr>
          <w:top w:val="none" w:sz="0" w:space="1" w:color="auto"/>
          <w:left w:val="none" w:sz="0" w:space="4" w:color="auto"/>
          <w:bottom w:val="none" w:sz="0" w:space="1" w:color="auto"/>
          <w:right w:val="none" w:sz="0" w:space="4" w:color="auto"/>
        </w:pBdr>
        <w:overflowPunct w:val="0"/>
        <w:spacing w:line="556"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6" w:lineRule="exact"/>
        <w:ind w:firstLineChars="200" w:firstLine="600"/>
        <w:rPr>
          <w:rFonts w:ascii="Times New Roman" w:eastAsia="仿宋" w:hAnsi="Times New Roman" w:cs="仿宋"/>
          <w:bCs/>
          <w:color w:val="000000"/>
          <w:sz w:val="30"/>
          <w:szCs w:val="30"/>
        </w:rPr>
      </w:pPr>
      <w:r>
        <w:rPr>
          <w:rFonts w:ascii="Times New Roman" w:eastAsia="仿宋" w:hAnsi="Times New Roman" w:cs="仿宋" w:hint="eastAsia"/>
          <w:bCs/>
          <w:color w:val="000000" w:themeColor="text1"/>
          <w:sz w:val="30"/>
          <w:szCs w:val="30"/>
        </w:rPr>
        <w:t>加强创新型人才培养。加强</w:t>
      </w:r>
      <w:r>
        <w:rPr>
          <w:rFonts w:ascii="Times New Roman" w:eastAsia="仿宋" w:hAnsi="Times New Roman" w:cs="仿宋" w:hint="eastAsia"/>
          <w:bCs/>
          <w:color w:val="000000"/>
          <w:sz w:val="30"/>
          <w:szCs w:val="30"/>
        </w:rPr>
        <w:t>创新人才培训</w:t>
      </w:r>
      <w:r>
        <w:rPr>
          <w:rFonts w:ascii="Times New Roman" w:eastAsia="仿宋" w:hAnsi="Times New Roman" w:cs="仿宋" w:hint="eastAsia"/>
          <w:bCs/>
          <w:color w:val="000000" w:themeColor="text1"/>
          <w:sz w:val="30"/>
          <w:szCs w:val="30"/>
        </w:rPr>
        <w:t>，</w:t>
      </w:r>
      <w:r>
        <w:rPr>
          <w:rFonts w:ascii="Times New Roman" w:eastAsia="仿宋" w:hAnsi="Times New Roman" w:cs="仿宋" w:hint="eastAsia"/>
          <w:bCs/>
          <w:color w:val="000000"/>
          <w:sz w:val="30"/>
          <w:szCs w:val="30"/>
        </w:rPr>
        <w:t>加大科技领军人才的培养力度，支持企业与知名高校、科研院所开展定向合作，培养</w:t>
      </w:r>
      <w:r>
        <w:rPr>
          <w:rFonts w:ascii="Times New Roman" w:eastAsia="仿宋" w:hAnsi="Times New Roman" w:cs="仿宋" w:hint="eastAsia"/>
          <w:bCs/>
          <w:color w:val="000000"/>
          <w:sz w:val="30"/>
          <w:szCs w:val="30"/>
        </w:rPr>
        <w:lastRenderedPageBreak/>
        <w:t>具有国际视野的高层次科技创新人才。衔接国家、自治区重大人才工程，做实“乌海英才”工程，运用好乌海市科技创新中心等平台，发挥好驻外人才工作站作用，构建“一心多点”人才工作格局，将乌海市打造成为区域科技创新人才集聚地。</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color w:val="000000"/>
          <w:sz w:val="30"/>
          <w:szCs w:val="30"/>
        </w:rPr>
        <w:t>壮大应用型专业人才队伍。</w:t>
      </w:r>
      <w:r>
        <w:rPr>
          <w:rFonts w:ascii="Times New Roman" w:eastAsia="仿宋" w:hAnsi="Times New Roman" w:cs="仿宋" w:hint="eastAsia"/>
          <w:bCs/>
          <w:sz w:val="30"/>
          <w:szCs w:val="30"/>
        </w:rPr>
        <w:t>以提升应用型人才的专业素质和创新能力为核心，推动实施应用型专业技术人才知识更新工程，大力培养一批自主创新能力强、掌握核心技术的学科学术带头人和高水平</w:t>
      </w:r>
      <w:r>
        <w:rPr>
          <w:rFonts w:ascii="Times New Roman" w:eastAsia="仿宋" w:hAnsi="Times New Roman" w:cs="仿宋" w:hint="eastAsia"/>
          <w:bCs/>
          <w:spacing w:val="-6"/>
          <w:sz w:val="30"/>
          <w:szCs w:val="30"/>
        </w:rPr>
        <w:t>工程师。实施青年拔尖人才培养工程，建立有利于青年拔尖人才脱颖而出的良性机制，引导专业技术人才向重点领域、民营企业、科研和生产一线流动。多层次培养储备一批教育、科技、文化、医疗卫生等领域专业技术和技能人才以及工业企业实用型人才。力争到</w:t>
      </w:r>
      <w:r>
        <w:rPr>
          <w:rFonts w:ascii="Times New Roman" w:eastAsia="仿宋" w:hAnsi="Times New Roman" w:cs="仿宋" w:hint="eastAsia"/>
          <w:bCs/>
          <w:spacing w:val="-6"/>
          <w:sz w:val="30"/>
          <w:szCs w:val="30"/>
        </w:rPr>
        <w:t>20</w:t>
      </w:r>
      <w:r>
        <w:rPr>
          <w:rFonts w:ascii="Times New Roman" w:eastAsia="仿宋" w:hAnsi="Times New Roman" w:cs="仿宋" w:hint="eastAsia"/>
          <w:bCs/>
          <w:sz w:val="30"/>
          <w:szCs w:val="30"/>
        </w:rPr>
        <w:t>25</w:t>
      </w:r>
      <w:r>
        <w:rPr>
          <w:rFonts w:ascii="Times New Roman" w:eastAsia="仿宋" w:hAnsi="Times New Roman" w:cs="仿宋" w:hint="eastAsia"/>
          <w:bCs/>
          <w:sz w:val="30"/>
          <w:szCs w:val="30"/>
        </w:rPr>
        <w:t>年，应用型专业技术人才达到</w:t>
      </w:r>
      <w:r>
        <w:rPr>
          <w:rFonts w:ascii="Times New Roman" w:eastAsia="仿宋" w:hAnsi="Times New Roman" w:cs="仿宋" w:hint="eastAsia"/>
          <w:bCs/>
          <w:sz w:val="30"/>
          <w:szCs w:val="30"/>
        </w:rPr>
        <w:t>4</w:t>
      </w:r>
      <w:r>
        <w:rPr>
          <w:rFonts w:ascii="Times New Roman" w:eastAsia="仿宋" w:hAnsi="Times New Roman" w:cs="仿宋" w:hint="eastAsia"/>
          <w:bCs/>
          <w:sz w:val="30"/>
          <w:szCs w:val="30"/>
        </w:rPr>
        <w:t>万人左右。</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z w:val="30"/>
          <w:szCs w:val="30"/>
          <w:shd w:val="clear" w:color="auto" w:fill="FFFFFF"/>
        </w:rPr>
        <w:t>做大做强高技能人才队伍。</w:t>
      </w:r>
      <w:r>
        <w:rPr>
          <w:rFonts w:ascii="Times New Roman" w:eastAsia="仿宋" w:hAnsi="Times New Roman" w:cs="仿宋" w:hint="eastAsia"/>
          <w:bCs/>
          <w:color w:val="000000"/>
          <w:sz w:val="30"/>
          <w:szCs w:val="30"/>
        </w:rPr>
        <w:t>积极推动产教融合、校企联合，健全校企合作保障机制、职业培训补贴标准动态调整机制，培养一批高技能人才</w:t>
      </w:r>
      <w:r>
        <w:rPr>
          <w:rFonts w:ascii="Times New Roman" w:eastAsia="仿宋" w:hAnsi="Times New Roman" w:cs="仿宋" w:hint="eastAsia"/>
          <w:bCs/>
          <w:sz w:val="30"/>
          <w:szCs w:val="30"/>
        </w:rPr>
        <w:t>。</w:t>
      </w:r>
      <w:r>
        <w:rPr>
          <w:rFonts w:ascii="Times New Roman" w:eastAsia="仿宋" w:hAnsi="Times New Roman" w:cs="仿宋" w:hint="eastAsia"/>
          <w:bCs/>
          <w:color w:val="000000"/>
          <w:sz w:val="30"/>
          <w:szCs w:val="30"/>
        </w:rPr>
        <w:t>加强服务区域产业发展的高技能人才培训基地建设，</w:t>
      </w:r>
      <w:r>
        <w:rPr>
          <w:rFonts w:ascii="Times New Roman" w:eastAsia="仿宋" w:hAnsi="Times New Roman" w:cs="仿宋" w:hint="eastAsia"/>
          <w:bCs/>
          <w:sz w:val="30"/>
          <w:szCs w:val="30"/>
        </w:rPr>
        <w:t>力争到</w:t>
      </w:r>
      <w:r>
        <w:rPr>
          <w:rFonts w:ascii="Times New Roman" w:eastAsia="仿宋" w:hAnsi="Times New Roman" w:cs="仿宋" w:hint="eastAsia"/>
          <w:bCs/>
          <w:sz w:val="30"/>
          <w:szCs w:val="30"/>
        </w:rPr>
        <w:t>2025</w:t>
      </w:r>
      <w:r>
        <w:rPr>
          <w:rFonts w:ascii="Times New Roman" w:eastAsia="仿宋" w:hAnsi="Times New Roman" w:cs="仿宋" w:hint="eastAsia"/>
          <w:bCs/>
          <w:sz w:val="30"/>
          <w:szCs w:val="30"/>
        </w:rPr>
        <w:t>年，建成</w:t>
      </w:r>
      <w:r>
        <w:rPr>
          <w:rFonts w:ascii="Times New Roman" w:eastAsia="仿宋" w:hAnsi="Times New Roman" w:cs="仿宋" w:hint="eastAsia"/>
          <w:bCs/>
          <w:sz w:val="30"/>
          <w:szCs w:val="30"/>
        </w:rPr>
        <w:t>1</w:t>
      </w:r>
      <w:r>
        <w:rPr>
          <w:rFonts w:ascii="Times New Roman" w:eastAsia="仿宋" w:hAnsi="Times New Roman" w:cs="仿宋" w:hint="eastAsia"/>
          <w:bCs/>
          <w:sz w:val="30"/>
          <w:szCs w:val="30"/>
        </w:rPr>
        <w:t>个国家级高技能人才培训基地、</w:t>
      </w:r>
      <w:r>
        <w:rPr>
          <w:rFonts w:ascii="Times New Roman" w:eastAsia="仿宋" w:hAnsi="Times New Roman" w:cs="仿宋" w:hint="eastAsia"/>
          <w:bCs/>
          <w:sz w:val="30"/>
          <w:szCs w:val="30"/>
        </w:rPr>
        <w:t>5</w:t>
      </w:r>
      <w:r>
        <w:rPr>
          <w:rFonts w:ascii="Times New Roman" w:eastAsia="仿宋" w:hAnsi="Times New Roman" w:cs="仿宋" w:hint="eastAsia"/>
          <w:bCs/>
          <w:sz w:val="30"/>
          <w:szCs w:val="30"/>
        </w:rPr>
        <w:t>个自治区级高技能人才培训基地、</w:t>
      </w:r>
      <w:r>
        <w:rPr>
          <w:rFonts w:ascii="Times New Roman" w:eastAsia="仿宋" w:hAnsi="Times New Roman" w:cs="仿宋" w:hint="eastAsia"/>
          <w:bCs/>
          <w:sz w:val="30"/>
          <w:szCs w:val="30"/>
        </w:rPr>
        <w:t>5</w:t>
      </w:r>
      <w:r>
        <w:rPr>
          <w:rFonts w:ascii="Times New Roman" w:eastAsia="仿宋" w:hAnsi="Times New Roman" w:cs="仿宋" w:hint="eastAsia"/>
          <w:bCs/>
          <w:sz w:val="30"/>
          <w:szCs w:val="30"/>
        </w:rPr>
        <w:t>个自治区级技能大师工作室，命名</w:t>
      </w:r>
      <w:r>
        <w:rPr>
          <w:rFonts w:ascii="Times New Roman" w:eastAsia="仿宋" w:hAnsi="Times New Roman" w:cs="仿宋" w:hint="eastAsia"/>
          <w:bCs/>
          <w:sz w:val="30"/>
          <w:szCs w:val="30"/>
        </w:rPr>
        <w:t>5</w:t>
      </w:r>
      <w:r>
        <w:rPr>
          <w:rFonts w:ascii="Times New Roman" w:eastAsia="仿宋" w:hAnsi="Times New Roman" w:cs="仿宋" w:hint="eastAsia"/>
          <w:bCs/>
          <w:sz w:val="30"/>
          <w:szCs w:val="30"/>
        </w:rPr>
        <w:t>—</w:t>
      </w:r>
      <w:r>
        <w:rPr>
          <w:rFonts w:ascii="Times New Roman" w:eastAsia="仿宋" w:hAnsi="Times New Roman" w:cs="仿宋" w:hint="eastAsia"/>
          <w:bCs/>
          <w:sz w:val="30"/>
          <w:szCs w:val="30"/>
        </w:rPr>
        <w:t>10</w:t>
      </w:r>
      <w:r>
        <w:rPr>
          <w:rFonts w:ascii="Times New Roman" w:eastAsia="仿宋" w:hAnsi="Times New Roman" w:cs="仿宋" w:hint="eastAsia"/>
          <w:bCs/>
          <w:sz w:val="30"/>
          <w:szCs w:val="30"/>
        </w:rPr>
        <w:t>个市级</w:t>
      </w:r>
      <w:bookmarkStart w:id="211" w:name="_Hlk28876393"/>
      <w:r>
        <w:rPr>
          <w:rFonts w:ascii="Times New Roman" w:eastAsia="仿宋" w:hAnsi="Times New Roman" w:cs="仿宋" w:hint="eastAsia"/>
          <w:bCs/>
          <w:sz w:val="30"/>
          <w:szCs w:val="30"/>
        </w:rPr>
        <w:t>技能大师工作室</w:t>
      </w:r>
      <w:bookmarkEnd w:id="211"/>
      <w:r>
        <w:rPr>
          <w:rFonts w:ascii="Times New Roman" w:eastAsia="仿宋" w:hAnsi="Times New Roman" w:cs="仿宋" w:hint="eastAsia"/>
          <w:bCs/>
          <w:sz w:val="30"/>
          <w:szCs w:val="30"/>
        </w:rPr>
        <w:t>。大力发挥职业技术院校作用，</w:t>
      </w:r>
      <w:r>
        <w:rPr>
          <w:rFonts w:ascii="Times New Roman" w:eastAsia="仿宋" w:hAnsi="Times New Roman" w:cs="仿宋" w:hint="eastAsia"/>
          <w:bCs/>
          <w:color w:val="000000"/>
          <w:sz w:val="30"/>
          <w:szCs w:val="30"/>
        </w:rPr>
        <w:t>实施职业技能提升行动，全面提升乌海市城乡劳</w:t>
      </w:r>
      <w:r>
        <w:rPr>
          <w:rFonts w:ascii="Times New Roman" w:eastAsia="仿宋" w:hAnsi="Times New Roman" w:cs="仿宋" w:hint="eastAsia"/>
          <w:bCs/>
          <w:sz w:val="30"/>
          <w:szCs w:val="30"/>
        </w:rPr>
        <w:t>动力职业技能水平和就业创业能力，“十四五”期间实现培训人数超过</w:t>
      </w:r>
      <w:r>
        <w:rPr>
          <w:rFonts w:ascii="Times New Roman" w:eastAsia="仿宋" w:hAnsi="Times New Roman" w:cs="仿宋" w:hint="eastAsia"/>
          <w:bCs/>
          <w:sz w:val="30"/>
          <w:szCs w:val="30"/>
        </w:rPr>
        <w:t>5</w:t>
      </w:r>
      <w:r>
        <w:rPr>
          <w:rFonts w:ascii="Times New Roman" w:eastAsia="仿宋" w:hAnsi="Times New Roman" w:cs="仿宋" w:hint="eastAsia"/>
          <w:bCs/>
          <w:sz w:val="30"/>
          <w:szCs w:val="30"/>
        </w:rPr>
        <w:t>万人。力争到</w:t>
      </w:r>
      <w:r>
        <w:rPr>
          <w:rFonts w:ascii="Times New Roman" w:eastAsia="仿宋" w:hAnsi="Times New Roman" w:cs="仿宋" w:hint="eastAsia"/>
          <w:bCs/>
          <w:sz w:val="30"/>
          <w:szCs w:val="30"/>
        </w:rPr>
        <w:t>2025</w:t>
      </w:r>
      <w:r>
        <w:rPr>
          <w:rFonts w:ascii="Times New Roman" w:eastAsia="仿宋" w:hAnsi="Times New Roman" w:cs="仿宋" w:hint="eastAsia"/>
          <w:bCs/>
          <w:sz w:val="30"/>
          <w:szCs w:val="30"/>
        </w:rPr>
        <w:t>年，乌海市技能人才总量达到</w:t>
      </w:r>
      <w:r>
        <w:rPr>
          <w:rFonts w:ascii="Times New Roman" w:eastAsia="仿宋" w:hAnsi="Times New Roman" w:cs="仿宋" w:hint="eastAsia"/>
          <w:bCs/>
          <w:sz w:val="30"/>
          <w:szCs w:val="30"/>
        </w:rPr>
        <w:t>5</w:t>
      </w:r>
      <w:r>
        <w:rPr>
          <w:rFonts w:ascii="Times New Roman" w:eastAsia="仿宋" w:hAnsi="Times New Roman" w:cs="仿宋" w:hint="eastAsia"/>
          <w:bCs/>
          <w:sz w:val="30"/>
          <w:szCs w:val="30"/>
        </w:rPr>
        <w:t>万人，其中高技能人才达到</w:t>
      </w:r>
      <w:r>
        <w:rPr>
          <w:rFonts w:ascii="Times New Roman" w:eastAsia="仿宋" w:hAnsi="Times New Roman" w:cs="仿宋" w:hint="eastAsia"/>
          <w:bCs/>
          <w:sz w:val="30"/>
          <w:szCs w:val="30"/>
        </w:rPr>
        <w:t>1.5</w:t>
      </w:r>
      <w:r>
        <w:rPr>
          <w:rFonts w:ascii="Times New Roman" w:eastAsia="仿宋" w:hAnsi="Times New Roman" w:cs="仿宋" w:hint="eastAsia"/>
          <w:bCs/>
          <w:sz w:val="30"/>
          <w:szCs w:val="30"/>
        </w:rPr>
        <w:t>万人。</w:t>
      </w:r>
    </w:p>
    <w:p w:rsidR="001328A6" w:rsidRDefault="007F3236">
      <w:pPr>
        <w:pBdr>
          <w:top w:val="none" w:sz="0" w:space="1" w:color="auto"/>
          <w:left w:val="none" w:sz="0" w:space="4" w:color="auto"/>
          <w:bottom w:val="none" w:sz="0" w:space="1" w:color="auto"/>
          <w:right w:val="none" w:sz="0" w:space="4" w:color="auto"/>
        </w:pBdr>
        <w:overflowPunct w:val="0"/>
        <w:spacing w:line="600" w:lineRule="exact"/>
        <w:ind w:firstLineChars="200" w:firstLine="600"/>
        <w:rPr>
          <w:rFonts w:ascii="Times New Roman" w:eastAsia="仿宋" w:hAnsi="Times New Roman" w:cs="仿宋"/>
          <w:bCs/>
          <w:color w:val="000000"/>
          <w:sz w:val="30"/>
          <w:szCs w:val="30"/>
        </w:rPr>
      </w:pPr>
      <w:r>
        <w:rPr>
          <w:rFonts w:ascii="Times New Roman" w:eastAsia="仿宋" w:hAnsi="Times New Roman" w:cs="仿宋" w:hint="eastAsia"/>
          <w:bCs/>
          <w:color w:val="000000"/>
          <w:sz w:val="30"/>
          <w:szCs w:val="30"/>
        </w:rPr>
        <w:t>实施企业家素质提升工程。弘扬企业家精神，壮大企业家队伍，</w:t>
      </w:r>
      <w:r>
        <w:rPr>
          <w:rFonts w:ascii="Times New Roman" w:eastAsia="仿宋" w:hAnsi="Times New Roman" w:cs="仿宋" w:hint="eastAsia"/>
          <w:bCs/>
          <w:color w:val="000000" w:themeColor="text1"/>
          <w:sz w:val="30"/>
          <w:szCs w:val="30"/>
        </w:rPr>
        <w:lastRenderedPageBreak/>
        <w:t>形成政府支持、社会参与的管理人才培养体系，</w:t>
      </w:r>
      <w:r>
        <w:rPr>
          <w:rFonts w:ascii="Times New Roman" w:eastAsia="仿宋" w:hAnsi="Times New Roman" w:cs="仿宋" w:hint="eastAsia"/>
          <w:bCs/>
          <w:color w:val="000000"/>
          <w:sz w:val="30"/>
          <w:szCs w:val="30"/>
        </w:rPr>
        <w:t>造就一批具有市场开拓精神、管理创新能力和社会责任感的创新型企业家和高素质企业经营管理人才队伍。</w:t>
      </w:r>
    </w:p>
    <w:p w:rsidR="001328A6" w:rsidRDefault="001328A6">
      <w:pPr>
        <w:pBdr>
          <w:top w:val="none" w:sz="0" w:space="1" w:color="auto"/>
          <w:left w:val="none" w:sz="0" w:space="4" w:color="auto"/>
          <w:bottom w:val="none" w:sz="0" w:space="1" w:color="auto"/>
          <w:right w:val="none" w:sz="0" w:space="4" w:color="auto"/>
        </w:pBdr>
        <w:overflowPunct w:val="0"/>
        <w:spacing w:line="600" w:lineRule="exact"/>
        <w:jc w:val="center"/>
        <w:rPr>
          <w:rFonts w:ascii="Times New Roman" w:eastAsia="仿宋" w:hAnsi="Times New Roman" w:cs="仿宋"/>
          <w:bCs/>
          <w:sz w:val="30"/>
          <w:szCs w:val="30"/>
        </w:rPr>
      </w:pPr>
      <w:bookmarkStart w:id="212" w:name="_Toc31247"/>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213" w:name="_Toc27634"/>
      <w:r>
        <w:rPr>
          <w:rFonts w:ascii="Times New Roman" w:eastAsia="楷体" w:hAnsi="Times New Roman" w:cs="楷体" w:hint="eastAsia"/>
          <w:bCs/>
          <w:sz w:val="32"/>
          <w:szCs w:val="32"/>
        </w:rPr>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大力引进各类优秀人才</w:t>
      </w:r>
      <w:bookmarkEnd w:id="212"/>
      <w:bookmarkEnd w:id="213"/>
    </w:p>
    <w:p w:rsidR="001328A6" w:rsidRDefault="001328A6">
      <w:pPr>
        <w:pBdr>
          <w:top w:val="none" w:sz="0" w:space="1" w:color="auto"/>
          <w:left w:val="none" w:sz="0" w:space="4" w:color="auto"/>
          <w:bottom w:val="none" w:sz="0" w:space="1" w:color="auto"/>
          <w:right w:val="none" w:sz="0" w:space="4" w:color="auto"/>
        </w:pBdr>
        <w:overflowPunct w:val="0"/>
        <w:spacing w:line="600" w:lineRule="exact"/>
        <w:ind w:firstLineChars="200" w:firstLine="600"/>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60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z w:val="30"/>
          <w:szCs w:val="30"/>
        </w:rPr>
        <w:t>柔性引进高层次创新人才。大力推动大众创业万众创新，围绕产业转型、科技创新需求，推动</w:t>
      </w:r>
      <w:r>
        <w:rPr>
          <w:rFonts w:ascii="Times New Roman" w:eastAsia="仿宋" w:hAnsi="Times New Roman" w:cs="仿宋" w:hint="eastAsia"/>
          <w:bCs/>
          <w:color w:val="000000" w:themeColor="text1"/>
          <w:sz w:val="30"/>
          <w:szCs w:val="30"/>
        </w:rPr>
        <w:t>高端人才与实体经济有效对接，实行更加开放的人才政策，构筑乌海及周边地区科研创新高地，引进和支持国内外优秀人才到乌海创新创业。加大人才引进力度，面向先进发达地区招才引智，大力引进院士专家和创新团队，加快引进一批重点产业、重点领域的高层次、高素质人才。加大顶尖科学家、领军人才或团队柔性引进力度，支持以科技合作、成果对接转</w:t>
      </w:r>
      <w:r>
        <w:rPr>
          <w:rFonts w:ascii="Times New Roman" w:eastAsia="仿宋" w:hAnsi="Times New Roman" w:cs="仿宋" w:hint="eastAsia"/>
          <w:bCs/>
          <w:sz w:val="30"/>
          <w:szCs w:val="30"/>
        </w:rPr>
        <w:t>化的方式引才引智，</w:t>
      </w:r>
      <w:r>
        <w:rPr>
          <w:rFonts w:ascii="Times New Roman" w:eastAsia="仿宋" w:hAnsi="Times New Roman" w:cs="仿宋" w:hint="eastAsia"/>
          <w:bCs/>
          <w:color w:val="000000" w:themeColor="text1"/>
          <w:sz w:val="30"/>
          <w:szCs w:val="30"/>
        </w:rPr>
        <w:t>形成“不求所有、但求所用”的良性发展局面。</w:t>
      </w:r>
    </w:p>
    <w:p w:rsidR="001328A6" w:rsidRDefault="007F3236">
      <w:pPr>
        <w:pBdr>
          <w:top w:val="none" w:sz="0" w:space="1" w:color="auto"/>
          <w:left w:val="none" w:sz="0" w:space="4" w:color="auto"/>
          <w:bottom w:val="none" w:sz="0" w:space="1" w:color="auto"/>
          <w:right w:val="none" w:sz="0" w:space="4" w:color="auto"/>
        </w:pBdr>
        <w:overflowPunct w:val="0"/>
        <w:spacing w:line="60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z w:val="30"/>
          <w:szCs w:val="30"/>
        </w:rPr>
        <w:t>吸引聚集各类紧缺实用人才。营造识才、爱才、敬才、用才良好氛围，加大人才开发专项资金投入力度。充分发挥企业集聚人才的主体作用，围绕产业链和创新链，刚性引进一批技能水平高、业绩突出的实用工程人才、专业技能人才</w:t>
      </w:r>
      <w:r>
        <w:rPr>
          <w:rFonts w:ascii="Times New Roman" w:eastAsia="仿宋" w:hAnsi="Times New Roman" w:cs="仿宋" w:hint="eastAsia"/>
          <w:bCs/>
          <w:color w:val="000000" w:themeColor="text1"/>
          <w:sz w:val="30"/>
          <w:szCs w:val="30"/>
        </w:rPr>
        <w:t>。</w:t>
      </w:r>
      <w:r>
        <w:rPr>
          <w:rFonts w:ascii="Times New Roman" w:eastAsia="仿宋" w:hAnsi="Times New Roman" w:cs="仿宋" w:hint="eastAsia"/>
          <w:bCs/>
          <w:sz w:val="30"/>
          <w:szCs w:val="30"/>
        </w:rPr>
        <w:t>在推进项目实施中引才、育才、用才，以项目带动人才集聚，以人才创新促进产业转型升级。</w:t>
      </w:r>
    </w:p>
    <w:p w:rsidR="001328A6" w:rsidRDefault="007F3236">
      <w:pPr>
        <w:rPr>
          <w:rFonts w:ascii="Times New Roman" w:eastAsia="仿宋" w:hAnsi="Times New Roman" w:cs="仿宋"/>
          <w:bCs/>
          <w:sz w:val="30"/>
          <w:szCs w:val="30"/>
        </w:rPr>
      </w:pPr>
      <w:bookmarkStart w:id="214" w:name="_Toc21607"/>
      <w:r>
        <w:rPr>
          <w:rFonts w:ascii="Times New Roman" w:eastAsia="仿宋" w:hAnsi="Times New Roman" w:cs="仿宋" w:hint="eastAsia"/>
          <w:bCs/>
          <w:sz w:val="30"/>
          <w:szCs w:val="30"/>
        </w:rPr>
        <w:br w:type="page"/>
      </w:r>
    </w:p>
    <w:p w:rsidR="001328A6" w:rsidRDefault="007F3236">
      <w:pPr>
        <w:pBdr>
          <w:top w:val="none" w:sz="0" w:space="1" w:color="auto"/>
          <w:left w:val="none" w:sz="0" w:space="4" w:color="auto"/>
          <w:bottom w:val="none" w:sz="0" w:space="1" w:color="auto"/>
          <w:right w:val="none" w:sz="0" w:space="4" w:color="auto"/>
        </w:pBdr>
        <w:overflowPunct w:val="0"/>
        <w:spacing w:line="560" w:lineRule="exact"/>
        <w:jc w:val="center"/>
        <w:outlineLvl w:val="2"/>
        <w:rPr>
          <w:rFonts w:ascii="Times New Roman" w:eastAsia="楷体" w:hAnsi="Times New Roman" w:cs="楷体"/>
          <w:bCs/>
          <w:sz w:val="32"/>
          <w:szCs w:val="32"/>
        </w:rPr>
      </w:pPr>
      <w:bookmarkStart w:id="215" w:name="_Toc24063"/>
      <w:r>
        <w:rPr>
          <w:rFonts w:ascii="Times New Roman" w:eastAsia="楷体" w:hAnsi="Times New Roman" w:cs="楷体" w:hint="eastAsia"/>
          <w:bCs/>
          <w:sz w:val="32"/>
          <w:szCs w:val="32"/>
        </w:rPr>
        <w:lastRenderedPageBreak/>
        <w:t>第三节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优化人才发展环境</w:t>
      </w:r>
      <w:bookmarkEnd w:id="214"/>
      <w:bookmarkEnd w:id="215"/>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56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6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完善人才激励政策。积极推动人才发展体制机制创新，加快构建以人为本的人才管理机制，进一步完善以能力和贡献为导向的人才激励机制，不断健全以创新能力、质量、实效、贡献为导向的科技人才评价体系。完善科研人员职务发明成果权益分享机制，争取科研人员职务科技成果所有权或长期使用权试点。充分发挥收入分配政策的激励导向作用，构建充分体现知识、技术等创新要素价值的收益分配机制，鼓励企业对科研人员实施股权、期权和分红激励。</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6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color w:val="000000" w:themeColor="text1"/>
          <w:sz w:val="30"/>
          <w:szCs w:val="30"/>
        </w:rPr>
        <w:t>优化人才服务保障体系。借鉴先进地区经验，</w:t>
      </w:r>
      <w:r>
        <w:rPr>
          <w:rFonts w:ascii="Times New Roman" w:eastAsia="仿宋" w:hAnsi="Times New Roman" w:cs="仿宋" w:hint="eastAsia"/>
          <w:bCs/>
          <w:sz w:val="30"/>
          <w:szCs w:val="30"/>
        </w:rPr>
        <w:t>建设有创新事业、有宜居生活、有服务保障的一站式人才服务中心，打造高品质生活环境。积极搭建全方位人才服务体系，妥善解决好住房、社会保障、户籍迁移、配偶就业、子女入学等现实问题，努力把乌海打造成为人才“近悦远来之城”。</w:t>
      </w:r>
    </w:p>
    <w:p w:rsidR="001328A6" w:rsidRDefault="001328A6">
      <w:pPr>
        <w:pBdr>
          <w:top w:val="none" w:sz="0" w:space="1" w:color="auto"/>
          <w:left w:val="none" w:sz="0" w:space="4" w:color="auto"/>
          <w:bottom w:val="none" w:sz="0" w:space="1" w:color="auto"/>
          <w:right w:val="none" w:sz="0" w:space="4" w:color="auto"/>
        </w:pBdr>
        <w:overflowPunct w:val="0"/>
        <w:spacing w:line="560" w:lineRule="exact"/>
        <w:jc w:val="center"/>
        <w:outlineLvl w:val="1"/>
        <w:rPr>
          <w:rFonts w:ascii="Times New Roman" w:eastAsia="仿宋" w:hAnsi="Times New Roman" w:cs="仿宋"/>
          <w:bCs/>
          <w:sz w:val="30"/>
          <w:szCs w:val="30"/>
        </w:rPr>
      </w:pPr>
      <w:bookmarkStart w:id="216" w:name="_Toc30070"/>
      <w:bookmarkStart w:id="217" w:name="_Toc1052"/>
    </w:p>
    <w:p w:rsidR="001328A6" w:rsidRDefault="007F3236">
      <w:pPr>
        <w:pBdr>
          <w:top w:val="none" w:sz="0" w:space="1" w:color="auto"/>
          <w:left w:val="none" w:sz="0" w:space="4" w:color="auto"/>
          <w:bottom w:val="none" w:sz="0" w:space="1" w:color="auto"/>
          <w:right w:val="none" w:sz="0" w:space="4" w:color="auto"/>
        </w:pBdr>
        <w:overflowPunct w:val="0"/>
        <w:spacing w:line="560" w:lineRule="exact"/>
        <w:jc w:val="center"/>
        <w:outlineLvl w:val="1"/>
        <w:rPr>
          <w:rFonts w:ascii="Times New Roman" w:eastAsia="黑体" w:hAnsi="Times New Roman" w:cs="黑体"/>
          <w:bCs/>
          <w:sz w:val="32"/>
          <w:szCs w:val="32"/>
        </w:rPr>
      </w:pPr>
      <w:r>
        <w:rPr>
          <w:rFonts w:ascii="Times New Roman" w:eastAsia="黑体" w:hAnsi="Times New Roman" w:cs="黑体" w:hint="eastAsia"/>
          <w:bCs/>
          <w:sz w:val="32"/>
          <w:szCs w:val="32"/>
        </w:rPr>
        <w:t>第十五章</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质量品牌兴业提升产业核心竞争力</w:t>
      </w:r>
      <w:bookmarkEnd w:id="216"/>
      <w:bookmarkEnd w:id="217"/>
    </w:p>
    <w:p w:rsidR="001328A6" w:rsidRDefault="001328A6">
      <w:pPr>
        <w:pStyle w:val="a0"/>
        <w:overflowPunct w:val="0"/>
        <w:spacing w:before="0" w:after="0" w:line="560" w:lineRule="exact"/>
        <w:outlineLvl w:val="9"/>
        <w:rPr>
          <w:rFonts w:ascii="Times New Roman" w:eastAsia="仿宋" w:hAnsi="Times New Roman" w:cs="仿宋"/>
          <w:b w:val="0"/>
          <w:snapToGrid w:val="0"/>
          <w:color w:val="000000" w:themeColor="text1"/>
          <w:kern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60" w:lineRule="exact"/>
        <w:ind w:firstLineChars="200" w:firstLine="600"/>
        <w:rPr>
          <w:rFonts w:ascii="Times New Roman" w:eastAsia="仿宋" w:hAnsi="Times New Roman" w:cs="仿宋"/>
          <w:bCs/>
          <w:snapToGrid w:val="0"/>
          <w:color w:val="FF0000"/>
          <w:kern w:val="0"/>
          <w:sz w:val="30"/>
          <w:szCs w:val="30"/>
        </w:rPr>
      </w:pPr>
      <w:r>
        <w:rPr>
          <w:rFonts w:ascii="Times New Roman" w:eastAsia="仿宋" w:hAnsi="Times New Roman" w:cs="仿宋" w:hint="eastAsia"/>
          <w:bCs/>
          <w:snapToGrid w:val="0"/>
          <w:color w:val="000000" w:themeColor="text1"/>
          <w:kern w:val="0"/>
          <w:sz w:val="30"/>
          <w:szCs w:val="30"/>
        </w:rPr>
        <w:t>坚持以质量第一为价值导向，以满足人民群众需求为根本目的，落实企业质量提升主体责任，大力实施“质量强市”“品牌兴市”战略，全面加强质量监管，</w:t>
      </w:r>
      <w:r>
        <w:rPr>
          <w:rFonts w:ascii="Times New Roman" w:eastAsia="仿宋" w:hAnsi="Times New Roman" w:cs="仿宋" w:hint="eastAsia"/>
          <w:bCs/>
          <w:color w:val="000000" w:themeColor="text1"/>
          <w:sz w:val="30"/>
          <w:szCs w:val="30"/>
        </w:rPr>
        <w:t>着力提升质量水平，</w:t>
      </w:r>
      <w:r>
        <w:rPr>
          <w:rFonts w:ascii="Times New Roman" w:eastAsia="仿宋" w:hAnsi="Times New Roman" w:cs="仿宋" w:hint="eastAsia"/>
          <w:bCs/>
          <w:snapToGrid w:val="0"/>
          <w:kern w:val="0"/>
          <w:sz w:val="30"/>
          <w:szCs w:val="30"/>
        </w:rPr>
        <w:t>开展质量、标准提升行动，着力增强产业核心竞争力，增创发展新优势，为经济高质量发展奠定坚实的质量基础。</w:t>
      </w: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218" w:name="_Toc32437"/>
      <w:bookmarkStart w:id="219" w:name="_Toc13542"/>
      <w:r>
        <w:rPr>
          <w:rFonts w:ascii="Times New Roman" w:eastAsia="楷体" w:hAnsi="Times New Roman" w:cs="楷体" w:hint="eastAsia"/>
          <w:bCs/>
          <w:sz w:val="32"/>
          <w:szCs w:val="32"/>
        </w:rPr>
        <w:lastRenderedPageBreak/>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强化质量标准工作</w:t>
      </w:r>
      <w:bookmarkEnd w:id="218"/>
      <w:bookmarkEnd w:id="219"/>
    </w:p>
    <w:p w:rsidR="001328A6" w:rsidRDefault="001328A6">
      <w:pPr>
        <w:pStyle w:val="a6"/>
        <w:pBdr>
          <w:top w:val="none" w:sz="0" w:space="1" w:color="auto"/>
          <w:left w:val="none" w:sz="0" w:space="4" w:color="auto"/>
          <w:bottom w:val="none" w:sz="0" w:space="1" w:color="auto"/>
          <w:right w:val="none" w:sz="0" w:space="4" w:color="auto"/>
        </w:pBdr>
        <w:overflowPunct w:val="0"/>
        <w:spacing w:line="580" w:lineRule="exact"/>
        <w:ind w:firstLineChars="200" w:firstLine="600"/>
        <w:jc w:val="both"/>
        <w:rPr>
          <w:rFonts w:ascii="Times New Roman" w:eastAsia="仿宋" w:hAnsi="Times New Roman" w:cs="仿宋"/>
          <w:bCs/>
          <w:sz w:val="30"/>
          <w:szCs w:val="30"/>
        </w:rPr>
      </w:pPr>
    </w:p>
    <w:p w:rsidR="001328A6" w:rsidRDefault="007F3236">
      <w:pPr>
        <w:pStyle w:val="a6"/>
        <w:pBdr>
          <w:top w:val="none" w:sz="0" w:space="1" w:color="auto"/>
          <w:left w:val="none" w:sz="0" w:space="4" w:color="auto"/>
          <w:bottom w:val="none" w:sz="0" w:space="1" w:color="auto"/>
          <w:right w:val="none" w:sz="0" w:space="4" w:color="auto"/>
        </w:pBdr>
        <w:overflowPunct w:val="0"/>
        <w:spacing w:line="580" w:lineRule="exact"/>
        <w:ind w:firstLineChars="200" w:firstLine="600"/>
        <w:jc w:val="both"/>
        <w:rPr>
          <w:rFonts w:ascii="Times New Roman" w:eastAsia="仿宋" w:hAnsi="Times New Roman" w:cs="仿宋"/>
          <w:bCs/>
          <w:spacing w:val="11"/>
          <w:sz w:val="30"/>
          <w:szCs w:val="30"/>
        </w:rPr>
      </w:pPr>
      <w:r>
        <w:rPr>
          <w:rFonts w:ascii="Times New Roman" w:eastAsia="仿宋" w:hAnsi="Times New Roman" w:cs="仿宋" w:hint="eastAsia"/>
          <w:bCs/>
          <w:sz w:val="30"/>
          <w:szCs w:val="30"/>
        </w:rPr>
        <w:t>全面提升重点领域质量水平。</w:t>
      </w:r>
      <w:r>
        <w:rPr>
          <w:rFonts w:ascii="Times New Roman" w:eastAsia="仿宋" w:hAnsi="Times New Roman" w:cs="仿宋" w:hint="eastAsia"/>
          <w:bCs/>
          <w:snapToGrid w:val="0"/>
          <w:kern w:val="0"/>
          <w:sz w:val="30"/>
          <w:szCs w:val="30"/>
        </w:rPr>
        <w:t>实施质量攻关工程，围绕两大基地建设，分行业开展质量状况调查，加强与国际、国内优质产品的质量比对，推动企业瞄准先进标杆实施技术改造。推进重点行业工</w:t>
      </w:r>
      <w:r>
        <w:rPr>
          <w:rFonts w:ascii="Times New Roman" w:eastAsia="仿宋" w:hAnsi="Times New Roman" w:cs="仿宋" w:hint="eastAsia"/>
          <w:bCs/>
          <w:snapToGrid w:val="0"/>
          <w:spacing w:val="11"/>
          <w:kern w:val="0"/>
          <w:sz w:val="30"/>
          <w:szCs w:val="30"/>
        </w:rPr>
        <w:t>艺优化行动，支持企业积极应用新技术、新工艺、新材料，提升产品质量。加强产品质量监管，健全质量管理体系，开展质量风险分析与控制、质量成本管理、质量管理体系升级等活动，提高质量在线监测、在线控制和产品全生命周期质量追溯能力。大力支持企业参评中国质量奖、自治区主席质量奖和市长质量奖，完善激励机制，加大对获奖企业在金融、项目投资等方面的支持力度</w:t>
      </w:r>
      <w:r>
        <w:rPr>
          <w:rFonts w:ascii="Times New Roman" w:eastAsia="仿宋" w:hAnsi="Times New Roman" w:cs="仿宋" w:hint="eastAsia"/>
          <w:bCs/>
          <w:color w:val="000000" w:themeColor="text1"/>
          <w:spacing w:val="11"/>
          <w:sz w:val="30"/>
          <w:szCs w:val="30"/>
        </w:rPr>
        <w:t>。到</w:t>
      </w:r>
      <w:r>
        <w:rPr>
          <w:rFonts w:ascii="Times New Roman" w:eastAsia="仿宋" w:hAnsi="Times New Roman" w:cs="仿宋" w:hint="eastAsia"/>
          <w:bCs/>
          <w:color w:val="000000" w:themeColor="text1"/>
          <w:spacing w:val="11"/>
          <w:sz w:val="30"/>
          <w:szCs w:val="30"/>
        </w:rPr>
        <w:t>2025</w:t>
      </w:r>
      <w:r>
        <w:rPr>
          <w:rFonts w:ascii="Times New Roman" w:eastAsia="仿宋" w:hAnsi="Times New Roman" w:cs="仿宋" w:hint="eastAsia"/>
          <w:bCs/>
          <w:color w:val="000000" w:themeColor="text1"/>
          <w:spacing w:val="11"/>
          <w:sz w:val="30"/>
          <w:szCs w:val="30"/>
        </w:rPr>
        <w:t>年，质量强市建设取得明显成效，产品、环境、工程和服务质量有效提升，产业发展质量稳步提高，区域质量水平整体跃升。</w:t>
      </w:r>
    </w:p>
    <w:p w:rsidR="001328A6" w:rsidRDefault="007F3236">
      <w:pPr>
        <w:pStyle w:val="a6"/>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sz w:val="30"/>
          <w:szCs w:val="30"/>
        </w:rPr>
        <w:t>持续推进标准体系建设。</w:t>
      </w:r>
      <w:r>
        <w:rPr>
          <w:rFonts w:ascii="Times New Roman" w:eastAsia="仿宋" w:hAnsi="Times New Roman" w:cs="仿宋" w:hint="eastAsia"/>
          <w:bCs/>
          <w:snapToGrid w:val="0"/>
          <w:kern w:val="0"/>
          <w:sz w:val="30"/>
          <w:szCs w:val="30"/>
        </w:rPr>
        <w:t>开展地区特色农产品、优势工业品标准化提升行动，提升行业整体竞争力。广泛开展“标准化</w:t>
      </w:r>
      <w:r>
        <w:rPr>
          <w:rFonts w:ascii="Times New Roman" w:eastAsia="仿宋" w:hAnsi="Times New Roman" w:cs="仿宋" w:hint="eastAsia"/>
          <w:bCs/>
          <w:snapToGrid w:val="0"/>
          <w:kern w:val="0"/>
          <w:sz w:val="30"/>
          <w:szCs w:val="30"/>
        </w:rPr>
        <w:t>+</w:t>
      </w:r>
      <w:r>
        <w:rPr>
          <w:rFonts w:ascii="Times New Roman" w:eastAsia="仿宋" w:hAnsi="Times New Roman" w:cs="仿宋" w:hint="eastAsia"/>
          <w:bCs/>
          <w:snapToGrid w:val="0"/>
          <w:kern w:val="0"/>
          <w:sz w:val="30"/>
          <w:szCs w:val="30"/>
        </w:rPr>
        <w:t>”行动，</w:t>
      </w:r>
      <w:r>
        <w:rPr>
          <w:rFonts w:ascii="Times New Roman" w:eastAsia="仿宋" w:hAnsi="Times New Roman" w:cs="仿宋" w:hint="eastAsia"/>
          <w:bCs/>
          <w:color w:val="000000" w:themeColor="text1"/>
          <w:sz w:val="30"/>
          <w:szCs w:val="30"/>
        </w:rPr>
        <w:t>深入推进基层标准化工作，优化健全标准体系，促进标准的制定、修订和应用实施。建立标准实施信息反馈、评估机制，大力推动企业标准自我声明公开工作。</w:t>
      </w:r>
    </w:p>
    <w:p w:rsidR="001328A6" w:rsidRDefault="007F3236">
      <w:pPr>
        <w:pStyle w:val="a6"/>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napToGrid w:val="0"/>
          <w:color w:val="FF0000"/>
          <w:kern w:val="0"/>
          <w:sz w:val="30"/>
          <w:szCs w:val="30"/>
        </w:rPr>
      </w:pPr>
      <w:r>
        <w:rPr>
          <w:rFonts w:ascii="Times New Roman" w:eastAsia="仿宋" w:hAnsi="Times New Roman" w:cs="仿宋" w:hint="eastAsia"/>
          <w:bCs/>
          <w:sz w:val="30"/>
          <w:szCs w:val="30"/>
        </w:rPr>
        <w:t>加快质量发展基础建设。</w:t>
      </w:r>
      <w:r>
        <w:rPr>
          <w:rFonts w:ascii="Times New Roman" w:eastAsia="仿宋" w:hAnsi="Times New Roman" w:cs="仿宋" w:hint="eastAsia"/>
          <w:bCs/>
          <w:snapToGrid w:val="0"/>
          <w:kern w:val="0"/>
          <w:sz w:val="30"/>
          <w:szCs w:val="30"/>
        </w:rPr>
        <w:t>加强法定计量检定机构、社会公用计量标准、军民共用计量基础设施建设，补充社会公用计量标准建设空白</w:t>
      </w:r>
      <w:r>
        <w:rPr>
          <w:rFonts w:ascii="Times New Roman" w:eastAsia="仿宋" w:hAnsi="Times New Roman" w:cs="仿宋" w:hint="eastAsia"/>
          <w:bCs/>
          <w:snapToGrid w:val="0"/>
          <w:color w:val="000000" w:themeColor="text1"/>
          <w:kern w:val="0"/>
          <w:sz w:val="30"/>
          <w:szCs w:val="30"/>
        </w:rPr>
        <w:t>，加快推进社会公用计量标准升级换代，提升各级计量技术机</w:t>
      </w:r>
      <w:r>
        <w:rPr>
          <w:rFonts w:ascii="Times New Roman" w:eastAsia="仿宋" w:hAnsi="Times New Roman" w:cs="仿宋" w:hint="eastAsia"/>
          <w:bCs/>
          <w:snapToGrid w:val="0"/>
          <w:color w:val="000000" w:themeColor="text1"/>
          <w:kern w:val="0"/>
          <w:sz w:val="30"/>
          <w:szCs w:val="30"/>
        </w:rPr>
        <w:lastRenderedPageBreak/>
        <w:t>构量值传递溯源能力。加强食品药品、工程质量、特种设备等检验检测机构建设。加快建设与经济发展相适应的计量服务体系、产业计量测试体系、区域计量支撑体系。加强计量、标准和检验检测信息共享和业务协同，开展质量技术服务一体化信息系统建设。</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220" w:name="_Toc26538"/>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221" w:name="_Toc26373"/>
      <w:r>
        <w:rPr>
          <w:rFonts w:ascii="Times New Roman" w:eastAsia="楷体" w:hAnsi="Times New Roman" w:cs="楷体" w:hint="eastAsia"/>
          <w:bCs/>
          <w:sz w:val="32"/>
          <w:szCs w:val="32"/>
        </w:rPr>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实施品牌兴市战略</w:t>
      </w:r>
      <w:bookmarkEnd w:id="220"/>
      <w:bookmarkEnd w:id="221"/>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napToGrid w:val="0"/>
          <w:kern w:val="0"/>
          <w:sz w:val="30"/>
          <w:szCs w:val="30"/>
        </w:rPr>
      </w:pPr>
      <w:r>
        <w:rPr>
          <w:rFonts w:ascii="Times New Roman" w:eastAsia="仿宋" w:hAnsi="Times New Roman" w:cs="仿宋" w:hint="eastAsia"/>
          <w:bCs/>
          <w:sz w:val="30"/>
          <w:szCs w:val="30"/>
        </w:rPr>
        <w:t>实施品牌培育工程。</w:t>
      </w:r>
      <w:r>
        <w:rPr>
          <w:rFonts w:ascii="Times New Roman" w:eastAsia="仿宋" w:hAnsi="Times New Roman" w:cs="仿宋" w:hint="eastAsia"/>
          <w:bCs/>
          <w:snapToGrid w:val="0"/>
          <w:kern w:val="0"/>
          <w:sz w:val="30"/>
          <w:szCs w:val="30"/>
        </w:rPr>
        <w:t>围绕葡萄种植加工、旅游等优势特色产业，开展企业和产业品牌培育计划，立足资源优势打造“乌海葡萄”“来沙漠看海”“大漠湖城”等特色品牌，创建全国、全区知名品牌示范区。积极争创中华老字号、地理标志商标（产品）、地方自主知识产权品牌、传统民族工艺产品品牌，培育形成一批科技含量高、质量水平高、具有较强竞争力的知名品牌。</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z w:val="30"/>
          <w:szCs w:val="30"/>
        </w:rPr>
        <w:t>优化品牌产品成长环境。</w:t>
      </w:r>
      <w:r>
        <w:rPr>
          <w:rFonts w:ascii="Times New Roman" w:eastAsia="仿宋" w:hAnsi="Times New Roman" w:cs="仿宋" w:hint="eastAsia"/>
          <w:bCs/>
          <w:snapToGrid w:val="0"/>
          <w:kern w:val="0"/>
          <w:sz w:val="30"/>
          <w:szCs w:val="30"/>
        </w:rPr>
        <w:t>加大打击假冒伪劣违法行为力度，营造品牌产品发展的良好环境。完善自主品牌维权与争端解决机制，形成企业自我保护、行政保护和司法保护三位一体、相互结合的品牌保护体系。加大品牌产品的宣传力度，采取多种形式开展品牌宣传推介活动，营造有利于品牌产品成长的舆论环境。搭建品牌展示平台，提升品牌知名度和影响力。发挥知名品牌带动作用，营造有利于知名品牌成长的社会环境。</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720"/>
        <w:rPr>
          <w:rFonts w:ascii="Times New Roman" w:eastAsia="黑体" w:hAnsi="Times New Roman" w:cs="Times New Roman"/>
          <w:bCs/>
          <w:sz w:val="36"/>
          <w:szCs w:val="36"/>
        </w:rPr>
      </w:pPr>
      <w:r>
        <w:rPr>
          <w:rFonts w:ascii="Times New Roman" w:eastAsia="黑体" w:hAnsi="Times New Roman" w:cs="Times New Roman"/>
          <w:bCs/>
          <w:sz w:val="36"/>
          <w:szCs w:val="36"/>
        </w:rPr>
        <w:br w:type="page"/>
      </w: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0"/>
        <w:rPr>
          <w:rFonts w:ascii="方正小标宋简体" w:eastAsia="方正小标宋简体" w:hAnsi="方正小标宋简体" w:cs="方正小标宋简体"/>
          <w:bCs/>
          <w:sz w:val="32"/>
          <w:szCs w:val="32"/>
        </w:rPr>
      </w:pPr>
      <w:bookmarkStart w:id="222" w:name="_Toc32420"/>
      <w:bookmarkStart w:id="223" w:name="_Toc225"/>
      <w:r>
        <w:rPr>
          <w:rFonts w:ascii="方正小标宋简体" w:eastAsia="方正小标宋简体" w:hAnsi="方正小标宋简体" w:cs="方正小标宋简体" w:hint="eastAsia"/>
          <w:bCs/>
          <w:sz w:val="32"/>
          <w:szCs w:val="32"/>
        </w:rPr>
        <w:lastRenderedPageBreak/>
        <w:t>第五篇加快城市转型步伐实现城市功能更强</w:t>
      </w:r>
      <w:bookmarkEnd w:id="222"/>
      <w:bookmarkEnd w:id="223"/>
    </w:p>
    <w:p w:rsidR="001328A6" w:rsidRDefault="001328A6">
      <w:pPr>
        <w:pStyle w:val="a0"/>
        <w:overflowPunct w:val="0"/>
        <w:spacing w:before="0" w:after="0" w:line="580" w:lineRule="exact"/>
        <w:outlineLvl w:val="9"/>
        <w:rPr>
          <w:rFonts w:ascii="Times New Roman" w:eastAsia="仿宋" w:hAnsi="Times New Roman" w:cs="仿宋"/>
          <w:b w:val="0"/>
          <w:color w:val="000000" w:themeColor="text1"/>
          <w:sz w:val="30"/>
          <w:szCs w:val="30"/>
        </w:rPr>
      </w:pPr>
    </w:p>
    <w:p w:rsidR="001328A6" w:rsidRDefault="007F3236">
      <w:pPr>
        <w:pStyle w:val="ac"/>
        <w:widowControl w:val="0"/>
        <w:pBdr>
          <w:top w:val="none" w:sz="0" w:space="1" w:color="auto"/>
          <w:left w:val="none" w:sz="0" w:space="4" w:color="auto"/>
          <w:bottom w:val="none" w:sz="0" w:space="1" w:color="auto"/>
          <w:right w:val="none" w:sz="0" w:space="4" w:color="auto"/>
        </w:pBdr>
        <w:overflowPunct w:val="0"/>
        <w:spacing w:before="0" w:beforeAutospacing="0" w:after="0" w:afterAutospacing="0" w:line="580" w:lineRule="exact"/>
        <w:ind w:firstLineChars="200" w:firstLine="600"/>
        <w:jc w:val="both"/>
        <w:rPr>
          <w:rFonts w:ascii="Times New Roman" w:eastAsia="仿宋" w:hAnsi="Times New Roman" w:cs="仿宋"/>
          <w:bCs/>
          <w:color w:val="000000" w:themeColor="text1"/>
          <w:kern w:val="2"/>
          <w:sz w:val="30"/>
          <w:szCs w:val="30"/>
        </w:rPr>
      </w:pPr>
      <w:r>
        <w:rPr>
          <w:rFonts w:ascii="Times New Roman" w:eastAsia="仿宋" w:hAnsi="Times New Roman" w:cs="仿宋" w:hint="eastAsia"/>
          <w:bCs/>
          <w:color w:val="000000" w:themeColor="text1"/>
          <w:kern w:val="2"/>
          <w:sz w:val="30"/>
          <w:szCs w:val="30"/>
        </w:rPr>
        <w:t>按照习近平总书记“城市建设要坚持以人民为中心，聚焦人民群众的需求，合理安排生产、生活、生态空间，走内涵式、集约型、绿色化的高质量发展路子”的重要指示要求，立足乌海及周边地区协同发展趋势，统筹设计城乡体系、部署城乡建设，提升城市品质，建设美丽乡村，推进区域协调发展和新型城镇化。</w:t>
      </w:r>
      <w:r>
        <w:rPr>
          <w:rFonts w:ascii="Times New Roman" w:eastAsia="仿宋" w:hAnsi="Times New Roman" w:cs="仿宋" w:hint="eastAsia"/>
          <w:bCs/>
          <w:color w:val="000000" w:themeColor="text1"/>
          <w:sz w:val="30"/>
          <w:szCs w:val="30"/>
        </w:rPr>
        <w:t>统筹发展和安全，聚焦筑牢祖国北疆安全稳定屏障，加强和创新社会治理，提升社会治理现代化水平，着力打造高效能智慧城市。</w:t>
      </w:r>
    </w:p>
    <w:p w:rsidR="001328A6" w:rsidRDefault="001328A6">
      <w:pPr>
        <w:pStyle w:val="a0"/>
        <w:overflowPunct w:val="0"/>
        <w:spacing w:before="0" w:after="0" w:line="580" w:lineRule="exact"/>
        <w:outlineLvl w:val="9"/>
        <w:rPr>
          <w:rFonts w:ascii="Times New Roman" w:eastAsia="仿宋" w:hAnsi="Times New Roman" w:cs="仿宋"/>
          <w:b w:val="0"/>
          <w:sz w:val="30"/>
          <w:szCs w:val="30"/>
        </w:rPr>
      </w:pPr>
      <w:bookmarkStart w:id="224" w:name="_Toc20448"/>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1"/>
        <w:rPr>
          <w:rFonts w:ascii="Times New Roman" w:eastAsia="黑体" w:hAnsi="Times New Roman" w:cs="黑体"/>
          <w:bCs/>
          <w:sz w:val="32"/>
          <w:szCs w:val="32"/>
        </w:rPr>
      </w:pPr>
      <w:bookmarkStart w:id="225" w:name="_Toc21093"/>
      <w:bookmarkStart w:id="226" w:name="_Toc8383"/>
      <w:r>
        <w:rPr>
          <w:rFonts w:ascii="Times New Roman" w:eastAsia="黑体" w:hAnsi="Times New Roman" w:cs="黑体" w:hint="eastAsia"/>
          <w:bCs/>
          <w:sz w:val="32"/>
          <w:szCs w:val="32"/>
        </w:rPr>
        <w:t>第十六章</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优化城乡体系构建国土空间开发保护新格局</w:t>
      </w:r>
      <w:bookmarkEnd w:id="224"/>
      <w:bookmarkEnd w:id="225"/>
      <w:bookmarkEnd w:id="226"/>
    </w:p>
    <w:p w:rsidR="001328A6" w:rsidRDefault="001328A6">
      <w:pPr>
        <w:overflowPunct w:val="0"/>
        <w:spacing w:line="580" w:lineRule="exact"/>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bookmarkStart w:id="227" w:name="_Toc19614"/>
      <w:r>
        <w:rPr>
          <w:rFonts w:ascii="Times New Roman" w:eastAsia="仿宋" w:hAnsi="Times New Roman" w:cs="仿宋" w:hint="eastAsia"/>
          <w:bCs/>
          <w:color w:val="000000" w:themeColor="text1"/>
          <w:sz w:val="30"/>
          <w:szCs w:val="30"/>
        </w:rPr>
        <w:t>落实自治区主体功能区战略，以统筹全域、产城融合、人与自然和谐为原则规划城乡发展空间，强化国土空间用途管制，坚持生</w:t>
      </w:r>
      <w:r>
        <w:rPr>
          <w:rFonts w:ascii="Times New Roman" w:eastAsia="仿宋" w:hAnsi="Times New Roman" w:cs="仿宋" w:hint="eastAsia"/>
          <w:bCs/>
          <w:color w:val="000000" w:themeColor="text1"/>
          <w:spacing w:val="-6"/>
          <w:sz w:val="30"/>
          <w:szCs w:val="30"/>
        </w:rPr>
        <w:t>态优先、保护优先、节约集约，构建高质量发展的国土空间支撑体系。</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228" w:name="_Toc31245"/>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229" w:name="_Toc1717"/>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健全国土空间规划体系</w:t>
      </w:r>
      <w:bookmarkEnd w:id="227"/>
      <w:bookmarkEnd w:id="228"/>
      <w:bookmarkEnd w:id="229"/>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强化资源环境底线约束。以资源环境承载能力评价、国土空间开发适宜性评价“双评价”为基础，统筹划定“三区三线”，明确建设用地总规模、城镇开发边界规模、永久基本农田保护等约束性</w:t>
      </w:r>
      <w:r>
        <w:rPr>
          <w:rFonts w:ascii="Times New Roman" w:eastAsia="仿宋" w:hAnsi="Times New Roman" w:cs="仿宋" w:hint="eastAsia"/>
          <w:bCs/>
          <w:color w:val="000000" w:themeColor="text1"/>
          <w:sz w:val="30"/>
          <w:szCs w:val="30"/>
        </w:rPr>
        <w:lastRenderedPageBreak/>
        <w:t>指标。基于我市自然环境条件，明确河湖水系、湿地、水源涵养地的保护范围，确定河湖自然岸线的保护措施。明确天然林、生态公益林、基本草原等为主体的林地、草地保护区域，严格落实林地用途管制等制度，严禁在草原上乱采滥挖、新上矿产资源开发等工业项目。</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bookmarkStart w:id="230" w:name="_Toc12371"/>
      <w:r>
        <w:rPr>
          <w:rFonts w:ascii="Times New Roman" w:eastAsia="仿宋" w:hAnsi="Times New Roman" w:cs="仿宋" w:hint="eastAsia"/>
          <w:bCs/>
          <w:color w:val="000000" w:themeColor="text1"/>
          <w:sz w:val="30"/>
          <w:szCs w:val="30"/>
        </w:rPr>
        <w:t>建立国土空间规划体系。坚持城乡统筹，合理规划人口、城镇和产业发展，高标准编制国土空间总体规划、详细规划和相关专项规划，形成一本规划、一张蓝图，实现城市定位同服务保障能力相适应、同人口资源环境相协调、同城市布局相一致。按照主体功能定位，优化重大基础设施、重大生产力和公共资源布局，最大限度保护生态环境，最大限度培植绿色发展优势。</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构建信息系统。在科学编制规划、整合各类空间关联数据基础上，搭建国土空间规划“一张图”实施监督信息系统，形成上接自治区、覆盖全市、动态更新、权威统一的国土空间规划“一张图”，实现规划编制、实施、监测、评估、预警的全流程信息化管理。</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231" w:name="_Toc4968"/>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232" w:name="_Toc6764"/>
      <w:r>
        <w:rPr>
          <w:rFonts w:ascii="Times New Roman" w:eastAsia="楷体" w:hAnsi="Times New Roman" w:cs="楷体" w:hint="eastAsia"/>
          <w:bCs/>
          <w:sz w:val="32"/>
          <w:szCs w:val="32"/>
        </w:rPr>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优化布局国土空间</w:t>
      </w:r>
      <w:bookmarkEnd w:id="230"/>
      <w:bookmarkEnd w:id="231"/>
      <w:bookmarkEnd w:id="232"/>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构建城市发展骨架。沿黄河打造生态、经济、文化复合型高质量发展带，沿桌子山及连通产业园区的交通走廊打造绿色生产及生态修复的发展走廊。以乌海湖、甘德尔山作为城市生态极核，积极引导生活服务、商务商业、旅游休闲等综合服务功能向环山环湖区</w:t>
      </w:r>
      <w:r>
        <w:rPr>
          <w:rFonts w:ascii="Times New Roman" w:eastAsia="仿宋" w:hAnsi="Times New Roman" w:cs="仿宋" w:hint="eastAsia"/>
          <w:bCs/>
          <w:color w:val="000000" w:themeColor="text1"/>
          <w:sz w:val="30"/>
          <w:szCs w:val="30"/>
        </w:rPr>
        <w:lastRenderedPageBreak/>
        <w:t>集聚，打造湖光、山色、城景交融的核心功能区，与一带一廊共同构建“一环一带一廊”的城市发展骨架。</w:t>
      </w:r>
      <w:bookmarkStart w:id="233" w:name="_Toc12823"/>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构建“一主两副、多区协同”城市空间体系。坚持以人为本、城乡统筹、产城融合、组团发展原则，围绕产业、城市双转型需要，形成以海勃湾区为主，以乌达区、海南区为辅的中心城区城市格局。推进海勃湾区加快发展滨河区域行政、教育、科研、设计、金融集聚区块，引导人口向滨河新区集聚，将滨河区域打造成为城市新名片。推动乌达城区北移东靠沿湖沿河发展，形成黄河西岸人口主要聚集地和公共服务中心。按照“小而精、小而特、小而美”的定位，加强海南区城镇建设，打造南部工业服务基地和公共服务中心。优化城镇、生态、农业三大空间格局，形成“海勃湾</w:t>
      </w:r>
      <w:r>
        <w:rPr>
          <w:rFonts w:ascii="Times New Roman" w:eastAsia="仿宋" w:hAnsi="Times New Roman" w:cs="仿宋" w:hint="eastAsia"/>
          <w:bCs/>
          <w:color w:val="000000" w:themeColor="text1"/>
          <w:spacing w:val="-6"/>
          <w:sz w:val="30"/>
          <w:szCs w:val="30"/>
        </w:rPr>
        <w:t>区—海勃湾工业园、乌达区—乌达工业园、海南区—海南工业园、巴音陶亥镇—低碳产业园”四大产城发展片区，形成“水土保持、水源涵养、生物保护、矿山修复、草原恢复”五大生态保护片区，形成“</w:t>
      </w:r>
      <w:r>
        <w:rPr>
          <w:rFonts w:ascii="Times New Roman" w:eastAsia="仿宋" w:hAnsi="Times New Roman" w:cs="仿宋" w:hint="eastAsia"/>
          <w:bCs/>
          <w:color w:val="000000" w:themeColor="text1"/>
          <w:sz w:val="30"/>
          <w:szCs w:val="30"/>
        </w:rPr>
        <w:t>都市农业、现代农业、田园乡村”三大农业发展片区。</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推动区域协调发展。推动以乌海湖为核心的区域城市转型与城市空间布局一体化、产业转型与产业布局一体化、综合交通一体化、公共服务一体化、市政基础设施一体化、生态环境治理一体化、政策机制一体化，着力打造自治区西部新的经济增长极。</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统筹推进滨河新区建设。以继续完善滨河一期、加快推进滨河二期、适度开发滨河二期西片区、超前谋划海北新区为总体思路，加快便民市场、商业综合体等项目建设，持续提升滨河一期城市配</w:t>
      </w:r>
      <w:r>
        <w:rPr>
          <w:rFonts w:ascii="Times New Roman" w:eastAsia="仿宋" w:hAnsi="Times New Roman" w:cs="仿宋" w:hint="eastAsia"/>
          <w:bCs/>
          <w:color w:val="000000" w:themeColor="text1"/>
          <w:sz w:val="30"/>
          <w:szCs w:val="30"/>
        </w:rPr>
        <w:lastRenderedPageBreak/>
        <w:t>套服务水平。突出亲水、运动、休闲等新型城市发展理念，以</w:t>
      </w:r>
      <w:r>
        <w:rPr>
          <w:rFonts w:ascii="Times New Roman" w:eastAsia="仿宋" w:hAnsi="Times New Roman" w:cs="仿宋" w:hint="eastAsia"/>
          <w:bCs/>
          <w:color w:val="000000" w:themeColor="text1"/>
          <w:sz w:val="30"/>
          <w:szCs w:val="30"/>
        </w:rPr>
        <w:t>110</w:t>
      </w:r>
      <w:r>
        <w:rPr>
          <w:rFonts w:ascii="Times New Roman" w:eastAsia="仿宋" w:hAnsi="Times New Roman" w:cs="仿宋" w:hint="eastAsia"/>
          <w:bCs/>
          <w:color w:val="000000" w:themeColor="text1"/>
          <w:sz w:val="30"/>
          <w:szCs w:val="30"/>
        </w:rPr>
        <w:t>国道为轴线，结合乌海湖、甘德尔河、甘德尔黄河大桥、甘德尔山生态文明景区环抱的地域特点，引进国际国内先进的城市开发理念，高质量完成新区基础设施和路网框架建设。开发中高档改善型住宅小区和配套服务功能，同步引进高质量教育、医疗、康养等资源，突出休闲、娱乐、体验等活力要素，引导人口向滨河西区集聚，基本完成滨河二期西片区开发，逐步打造城市“会客厅”，带动城市品质整体提升。以高铁乌海站、客运枢纽站、乌海机场为综合交通枢纽，研究谋划海北新区建设。</w:t>
      </w:r>
    </w:p>
    <w:p w:rsidR="001328A6" w:rsidRDefault="001328A6">
      <w:pPr>
        <w:pStyle w:val="a0"/>
        <w:overflowPunct w:val="0"/>
        <w:spacing w:before="0" w:after="0" w:line="580" w:lineRule="exact"/>
        <w:outlineLvl w:val="9"/>
        <w:rPr>
          <w:rFonts w:ascii="Times New Roman" w:eastAsia="仿宋" w:hAnsi="Times New Roman" w:cs="仿宋"/>
          <w:b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1"/>
        <w:rPr>
          <w:rFonts w:ascii="Times New Roman" w:eastAsia="黑体" w:hAnsi="Times New Roman" w:cs="黑体"/>
          <w:bCs/>
          <w:sz w:val="32"/>
          <w:szCs w:val="32"/>
        </w:rPr>
      </w:pPr>
      <w:bookmarkStart w:id="234" w:name="_Toc10128"/>
      <w:bookmarkStart w:id="235" w:name="_Toc20270"/>
      <w:r>
        <w:rPr>
          <w:rFonts w:ascii="Times New Roman" w:eastAsia="黑体" w:hAnsi="Times New Roman" w:cs="黑体" w:hint="eastAsia"/>
          <w:bCs/>
          <w:sz w:val="32"/>
          <w:szCs w:val="32"/>
        </w:rPr>
        <w:t>第十七章</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完善城市功能建设活力宜居乌海</w:t>
      </w:r>
      <w:bookmarkEnd w:id="233"/>
      <w:bookmarkEnd w:id="234"/>
      <w:bookmarkEnd w:id="235"/>
    </w:p>
    <w:p w:rsidR="001328A6" w:rsidRDefault="001328A6">
      <w:pPr>
        <w:pStyle w:val="a0"/>
        <w:overflowPunct w:val="0"/>
        <w:spacing w:before="0" w:after="0" w:line="580" w:lineRule="exact"/>
        <w:outlineLvl w:val="9"/>
        <w:rPr>
          <w:rFonts w:ascii="Times New Roman" w:eastAsia="仿宋" w:hAnsi="Times New Roman" w:cs="仿宋"/>
          <w:b w:val="0"/>
          <w:sz w:val="30"/>
          <w:szCs w:val="30"/>
        </w:rPr>
      </w:pPr>
    </w:p>
    <w:p w:rsidR="001328A6" w:rsidRDefault="007F3236">
      <w:pPr>
        <w:pStyle w:val="ac"/>
        <w:widowControl w:val="0"/>
        <w:pBdr>
          <w:top w:val="none" w:sz="0" w:space="1" w:color="auto"/>
          <w:left w:val="none" w:sz="0" w:space="4" w:color="auto"/>
          <w:bottom w:val="none" w:sz="0" w:space="1" w:color="auto"/>
          <w:right w:val="none" w:sz="0" w:space="4" w:color="auto"/>
        </w:pBdr>
        <w:overflowPunct w:val="0"/>
        <w:spacing w:before="0" w:beforeAutospacing="0" w:after="0" w:afterAutospacing="0" w:line="580" w:lineRule="exact"/>
        <w:ind w:firstLineChars="200" w:firstLine="600"/>
        <w:jc w:val="both"/>
        <w:rPr>
          <w:rFonts w:ascii="Times New Roman" w:eastAsia="仿宋" w:hAnsi="Times New Roman" w:cs="仿宋"/>
          <w:bCs/>
          <w:sz w:val="30"/>
          <w:szCs w:val="30"/>
        </w:rPr>
      </w:pPr>
      <w:r>
        <w:rPr>
          <w:rFonts w:ascii="Times New Roman" w:eastAsia="仿宋" w:hAnsi="Times New Roman" w:cs="仿宋" w:hint="eastAsia"/>
          <w:bCs/>
          <w:sz w:val="30"/>
          <w:szCs w:val="30"/>
        </w:rPr>
        <w:t>按照“补短板、抓提升、强管理”的总体思路，统筹城市规划、建设、管理全面提质，提高城市智慧化水平，推动城市更新行动，加快人口由矿区进城区、城区到中心区的梯次转移，实现城市结构优化、功能完善，综合承载能力和品质得到提升，促进城市发展和管理模式转型，着力将乌海建成宜居宜业宜游的活力城市。</w:t>
      </w:r>
      <w:r>
        <w:rPr>
          <w:rFonts w:ascii="Times New Roman" w:eastAsia="仿宋" w:hAnsi="Times New Roman" w:cs="仿宋" w:hint="eastAsia"/>
          <w:bCs/>
          <w:sz w:val="30"/>
          <w:szCs w:val="30"/>
        </w:rPr>
        <w:t xml:space="preserve"> </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236" w:name="_Toc13841"/>
      <w:bookmarkStart w:id="237" w:name="_Toc22238"/>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238" w:name="_Toc24356"/>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持续优化城市环境</w:t>
      </w:r>
      <w:bookmarkEnd w:id="236"/>
      <w:bookmarkEnd w:id="237"/>
      <w:bookmarkEnd w:id="238"/>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加强城市绿地系统建设。适度合理增加建成区总体绿量，巩固扩大国家园林城市创建成果。建成以乌海湖为核心的环湖绿道景观</w:t>
      </w:r>
      <w:r>
        <w:rPr>
          <w:rFonts w:ascii="Times New Roman" w:eastAsia="仿宋" w:hAnsi="Times New Roman" w:cs="仿宋" w:hint="eastAsia"/>
          <w:bCs/>
          <w:color w:val="000000" w:themeColor="text1"/>
          <w:sz w:val="30"/>
          <w:szCs w:val="30"/>
        </w:rPr>
        <w:lastRenderedPageBreak/>
        <w:t>系统，以沿库、沿路、沿山和沿河防护林为主线的生态绿化带，以公园、植物园及街头绿地等园林景观为重点的公共绿地。加大拆迁增绿、见缝插绿、立体绿化、小微公园建设力度，构建以城市绿道、乌海湖湿地及乡土植被为主的城市生态休憩系统，扩大绿色生态空间，打造国家生态园林城市。</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sz w:val="30"/>
          <w:szCs w:val="30"/>
        </w:rPr>
        <w:t>推进城市美化亮化。突出山、水、湖、城特色，体现多元文化内涵，高品位设计城市，高品质建设城市，塑造城市特色风貌，吸引产业、</w:t>
      </w:r>
      <w:r>
        <w:rPr>
          <w:rFonts w:ascii="Times New Roman" w:eastAsia="仿宋" w:hAnsi="Times New Roman" w:cs="仿宋" w:hint="eastAsia"/>
          <w:bCs/>
          <w:color w:val="000000"/>
          <w:spacing w:val="-6"/>
          <w:sz w:val="30"/>
          <w:szCs w:val="30"/>
        </w:rPr>
        <w:t>集聚人口。以公园广场、城市水系、桥梁道路、标志建筑等为重点，实施亮化改造工程，打造既具乌海特色又富现代气息的亮化景观。以</w:t>
      </w:r>
      <w:r>
        <w:rPr>
          <w:rFonts w:ascii="Times New Roman" w:eastAsia="仿宋" w:hAnsi="Times New Roman" w:cs="仿宋" w:hint="eastAsia"/>
          <w:bCs/>
          <w:color w:val="000000"/>
          <w:sz w:val="30"/>
          <w:szCs w:val="30"/>
        </w:rPr>
        <w:t>水为核心，推进水系、路网、园林一体化设计。</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239" w:name="_Toc7809"/>
      <w:bookmarkStart w:id="240" w:name="_Toc8273"/>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241" w:name="_Toc27327"/>
      <w:r>
        <w:rPr>
          <w:rFonts w:ascii="Times New Roman" w:eastAsia="楷体" w:hAnsi="Times New Roman" w:cs="楷体" w:hint="eastAsia"/>
          <w:bCs/>
          <w:sz w:val="32"/>
          <w:szCs w:val="32"/>
        </w:rPr>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提升改造城市</w:t>
      </w:r>
      <w:bookmarkEnd w:id="239"/>
      <w:r>
        <w:rPr>
          <w:rFonts w:ascii="Times New Roman" w:eastAsia="楷体" w:hAnsi="Times New Roman" w:cs="楷体" w:hint="eastAsia"/>
          <w:bCs/>
          <w:sz w:val="32"/>
          <w:szCs w:val="32"/>
        </w:rPr>
        <w:t>基础设施</w:t>
      </w:r>
      <w:bookmarkEnd w:id="240"/>
      <w:bookmarkEnd w:id="241"/>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spacing w:val="-6"/>
          <w:sz w:val="30"/>
          <w:szCs w:val="30"/>
        </w:rPr>
      </w:pPr>
      <w:r>
        <w:rPr>
          <w:rFonts w:ascii="Times New Roman" w:eastAsia="仿宋" w:hAnsi="Times New Roman" w:cs="仿宋" w:hint="eastAsia"/>
          <w:bCs/>
          <w:color w:val="000000" w:themeColor="text1"/>
          <w:sz w:val="30"/>
          <w:szCs w:val="30"/>
        </w:rPr>
        <w:t>优化市政交通体系。推动市政道路提标改造，完善市政路网结构，提高市政路网通达效率。</w:t>
      </w:r>
      <w:r>
        <w:rPr>
          <w:rFonts w:ascii="Times New Roman" w:eastAsia="仿宋" w:hAnsi="Times New Roman" w:cs="仿宋" w:hint="eastAsia"/>
          <w:bCs/>
          <w:color w:val="000000"/>
          <w:sz w:val="30"/>
          <w:szCs w:val="30"/>
        </w:rPr>
        <w:t>大力发展绿色交通体系，加大城市绿</w:t>
      </w:r>
      <w:r>
        <w:rPr>
          <w:rFonts w:ascii="Times New Roman" w:eastAsia="仿宋" w:hAnsi="Times New Roman" w:cs="仿宋" w:hint="eastAsia"/>
          <w:bCs/>
          <w:color w:val="000000"/>
          <w:spacing w:val="-6"/>
          <w:sz w:val="30"/>
          <w:szCs w:val="30"/>
        </w:rPr>
        <w:t>道等慢行交通体系建设，鼓励支持共享汽车、共享单车发展，加快公交都市建设，推广新能源汽车等绿色交通工具，在公共停车场、居民小区停车场和主要交通沿线，规划建设加气站、充电桩等公用基础设施。科学规划建设城市停车设施，加大有条件的道路两侧及公共场所停车位施划力度，鼓励新建公共建筑和大型居民小区配建智能停车场，缓解人流密集区停车难问题。</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sz w:val="30"/>
          <w:szCs w:val="30"/>
        </w:rPr>
      </w:pPr>
      <w:r>
        <w:rPr>
          <w:rFonts w:ascii="Times New Roman" w:eastAsia="仿宋" w:hAnsi="Times New Roman" w:cs="仿宋" w:hint="eastAsia"/>
          <w:bCs/>
          <w:color w:val="000000" w:themeColor="text1"/>
          <w:sz w:val="30"/>
          <w:szCs w:val="30"/>
        </w:rPr>
        <w:t>改造完善市政管网设施。促进地下空间统一规划、合理开发和</w:t>
      </w:r>
      <w:r>
        <w:rPr>
          <w:rFonts w:ascii="Times New Roman" w:eastAsia="仿宋" w:hAnsi="Times New Roman" w:cs="仿宋" w:hint="eastAsia"/>
          <w:bCs/>
          <w:color w:val="000000" w:themeColor="text1"/>
          <w:sz w:val="30"/>
          <w:szCs w:val="30"/>
        </w:rPr>
        <w:lastRenderedPageBreak/>
        <w:t>科学规范管理，逐步完成人防工程建设和易地补建任务。推进城市地下综合管廊建设，开展地下管线普查，建立完善地下管线综合管理信息系统，加强地下管线综合管理信息系统动态管理。</w:t>
      </w:r>
      <w:r>
        <w:rPr>
          <w:rFonts w:ascii="Times New Roman" w:eastAsia="仿宋" w:hAnsi="Times New Roman" w:cs="仿宋" w:hint="eastAsia"/>
          <w:bCs/>
          <w:color w:val="000000"/>
          <w:sz w:val="30"/>
          <w:szCs w:val="30"/>
        </w:rPr>
        <w:t>提高热源供热能力，加大老旧供热管网改造力度</w:t>
      </w:r>
      <w:r>
        <w:rPr>
          <w:rFonts w:ascii="Times New Roman" w:eastAsia="仿宋" w:hAnsi="Times New Roman" w:cs="仿宋" w:hint="eastAsia"/>
          <w:bCs/>
          <w:color w:val="000000" w:themeColor="text1"/>
          <w:sz w:val="30"/>
          <w:szCs w:val="30"/>
        </w:rPr>
        <w:t>，扩大集中供热范围。实施海</w:t>
      </w:r>
      <w:r>
        <w:rPr>
          <w:rFonts w:ascii="Times New Roman" w:eastAsia="仿宋" w:hAnsi="Times New Roman" w:cs="仿宋" w:hint="eastAsia"/>
          <w:bCs/>
          <w:color w:val="000000"/>
          <w:sz w:val="30"/>
          <w:szCs w:val="30"/>
        </w:rPr>
        <w:t>勃湾区旧城区灰口铸铁燃气管网改造等工程，加强老旧供气管网改造，</w:t>
      </w:r>
      <w:r>
        <w:rPr>
          <w:rFonts w:ascii="Times New Roman" w:eastAsia="仿宋" w:hAnsi="Times New Roman" w:cs="仿宋" w:hint="eastAsia"/>
          <w:bCs/>
          <w:color w:val="000000" w:themeColor="text1"/>
          <w:sz w:val="30"/>
          <w:szCs w:val="30"/>
        </w:rPr>
        <w:t>保障城市用气安全。推动供水管网改造提升，加快净水厂项目建设进程，进一步提升供水水质，保证居民安全用水。</w:t>
      </w:r>
      <w:r>
        <w:rPr>
          <w:rFonts w:ascii="Times New Roman" w:eastAsia="仿宋" w:hAnsi="Times New Roman" w:cs="仿宋" w:hint="eastAsia"/>
          <w:bCs/>
          <w:color w:val="000000"/>
          <w:sz w:val="30"/>
          <w:szCs w:val="30"/>
        </w:rPr>
        <w:t>积极推进海绵城市、韧性城市建设，加大雨水管线、排水泵站和排水渠系建设力度，实施排水防涝工程，增强防洪排涝能力。整合供电、电信和广播电视等网络布局，加快推进高空线缆入地。</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提级扩能环境卫生设施。完善生活垃圾分类投放、收集、运输、处理系统，实施现有生活垃圾填埋场改造综合利用项目，城镇生活垃圾无害化处理率保持在</w:t>
      </w:r>
      <w:r>
        <w:rPr>
          <w:rFonts w:ascii="Times New Roman" w:eastAsia="仿宋" w:hAnsi="Times New Roman" w:cs="仿宋" w:hint="eastAsia"/>
          <w:bCs/>
          <w:color w:val="000000" w:themeColor="text1"/>
          <w:sz w:val="30"/>
          <w:szCs w:val="30"/>
        </w:rPr>
        <w:t>100%</w:t>
      </w:r>
      <w:r>
        <w:rPr>
          <w:rFonts w:ascii="Times New Roman" w:eastAsia="仿宋" w:hAnsi="Times New Roman" w:cs="仿宋" w:hint="eastAsia"/>
          <w:bCs/>
          <w:color w:val="000000" w:themeColor="text1"/>
          <w:sz w:val="30"/>
          <w:szCs w:val="30"/>
        </w:rPr>
        <w:t>。改造升级污水收集、处理设施，因地制</w:t>
      </w:r>
      <w:r>
        <w:rPr>
          <w:rFonts w:ascii="Times New Roman" w:eastAsia="仿宋" w:hAnsi="Times New Roman" w:cs="仿宋" w:hint="eastAsia"/>
          <w:bCs/>
          <w:color w:val="000000" w:themeColor="text1"/>
          <w:spacing w:val="6"/>
          <w:sz w:val="30"/>
          <w:szCs w:val="30"/>
        </w:rPr>
        <w:t>宜实施雨污分流，持续推进污泥无害化处理设施建设，污水处理率达到</w:t>
      </w:r>
      <w:r>
        <w:rPr>
          <w:rFonts w:ascii="Times New Roman" w:eastAsia="仿宋" w:hAnsi="Times New Roman" w:cs="仿宋" w:hint="eastAsia"/>
          <w:bCs/>
          <w:color w:val="000000" w:themeColor="text1"/>
          <w:spacing w:val="6"/>
          <w:sz w:val="30"/>
          <w:szCs w:val="30"/>
        </w:rPr>
        <w:t>98.3%</w:t>
      </w:r>
      <w:r>
        <w:rPr>
          <w:rFonts w:ascii="Times New Roman" w:eastAsia="仿宋" w:hAnsi="Times New Roman" w:cs="仿宋" w:hint="eastAsia"/>
          <w:bCs/>
          <w:color w:val="000000" w:themeColor="text1"/>
          <w:spacing w:val="6"/>
          <w:sz w:val="30"/>
          <w:szCs w:val="30"/>
        </w:rPr>
        <w:t>以上。加强燃气、氢气等新能源利用，燃气普及率达到</w:t>
      </w:r>
      <w:r>
        <w:rPr>
          <w:rFonts w:ascii="Times New Roman" w:eastAsia="仿宋" w:hAnsi="Times New Roman" w:cs="仿宋" w:hint="eastAsia"/>
          <w:bCs/>
          <w:color w:val="000000" w:themeColor="text1"/>
          <w:spacing w:val="6"/>
          <w:sz w:val="30"/>
          <w:szCs w:val="30"/>
        </w:rPr>
        <w:t>97%</w:t>
      </w:r>
      <w:r>
        <w:rPr>
          <w:rFonts w:ascii="Times New Roman" w:eastAsia="仿宋" w:hAnsi="Times New Roman" w:cs="仿宋" w:hint="eastAsia"/>
          <w:bCs/>
          <w:color w:val="000000" w:themeColor="text1"/>
          <w:spacing w:val="6"/>
          <w:sz w:val="30"/>
          <w:szCs w:val="30"/>
        </w:rPr>
        <w:t>以上。加大老旧供水设施改造力度，供水管网漏损率控制在</w:t>
      </w:r>
      <w:r>
        <w:rPr>
          <w:rFonts w:ascii="Times New Roman" w:eastAsia="仿宋" w:hAnsi="Times New Roman" w:cs="仿宋" w:hint="eastAsia"/>
          <w:bCs/>
          <w:color w:val="000000" w:themeColor="text1"/>
          <w:spacing w:val="6"/>
          <w:sz w:val="30"/>
          <w:szCs w:val="30"/>
        </w:rPr>
        <w:t>10%</w:t>
      </w:r>
      <w:r>
        <w:rPr>
          <w:rFonts w:ascii="Times New Roman" w:eastAsia="仿宋" w:hAnsi="Times New Roman" w:cs="仿宋" w:hint="eastAsia"/>
          <w:bCs/>
          <w:color w:val="000000" w:themeColor="text1"/>
          <w:spacing w:val="6"/>
          <w:sz w:val="30"/>
          <w:szCs w:val="30"/>
        </w:rPr>
        <w:t>以内。改善公共厕所系统，在老城区、人流密集区和主次干道等区域配建补建固定或移动公共</w:t>
      </w:r>
      <w:r>
        <w:rPr>
          <w:rFonts w:ascii="Times New Roman" w:eastAsia="仿宋" w:hAnsi="Times New Roman" w:cs="仿宋" w:hint="eastAsia"/>
          <w:bCs/>
          <w:color w:val="000000" w:themeColor="text1"/>
          <w:sz w:val="30"/>
          <w:szCs w:val="30"/>
        </w:rPr>
        <w:t>厕所，新区建设和商业开发区必须按照标准配建一定比例的公共厕所。</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spacing w:val="-6"/>
          <w:sz w:val="30"/>
          <w:szCs w:val="30"/>
        </w:rPr>
      </w:pPr>
      <w:r>
        <w:rPr>
          <w:rFonts w:ascii="Times New Roman" w:eastAsia="仿宋" w:hAnsi="Times New Roman" w:cs="仿宋" w:hint="eastAsia"/>
          <w:bCs/>
          <w:color w:val="000000" w:themeColor="text1"/>
          <w:sz w:val="30"/>
          <w:szCs w:val="30"/>
        </w:rPr>
        <w:t>加强生活便利化设施建设。</w:t>
      </w:r>
      <w:r>
        <w:rPr>
          <w:rFonts w:ascii="Times New Roman" w:eastAsia="仿宋" w:hAnsi="Times New Roman" w:cs="仿宋" w:hint="eastAsia"/>
          <w:bCs/>
          <w:color w:val="000000"/>
          <w:sz w:val="30"/>
          <w:szCs w:val="30"/>
        </w:rPr>
        <w:t>推动市政基础设施智能化、数字化</w:t>
      </w:r>
      <w:r>
        <w:rPr>
          <w:rFonts w:ascii="Times New Roman" w:eastAsia="仿宋" w:hAnsi="Times New Roman" w:cs="仿宋" w:hint="eastAsia"/>
          <w:bCs/>
          <w:color w:val="000000"/>
          <w:spacing w:val="-6"/>
          <w:sz w:val="30"/>
          <w:szCs w:val="30"/>
        </w:rPr>
        <w:t>升级。结合城市功能分区和居民小区分布，加快社区建设，合理规划布局医院、幼儿园</w:t>
      </w:r>
      <w:r>
        <w:rPr>
          <w:rFonts w:ascii="Times New Roman" w:eastAsia="仿宋" w:hAnsi="Times New Roman" w:cs="仿宋" w:hint="eastAsia"/>
          <w:bCs/>
          <w:color w:val="000000"/>
          <w:spacing w:val="11"/>
          <w:sz w:val="30"/>
          <w:szCs w:val="30"/>
        </w:rPr>
        <w:t>、中小学、社区服务中心等公共基础设施，形成</w:t>
      </w:r>
      <w:r>
        <w:rPr>
          <w:rFonts w:ascii="Times New Roman" w:eastAsia="仿宋" w:hAnsi="Times New Roman" w:cs="仿宋" w:hint="eastAsia"/>
          <w:bCs/>
          <w:color w:val="000000"/>
          <w:spacing w:val="11"/>
          <w:sz w:val="30"/>
          <w:szCs w:val="30"/>
        </w:rPr>
        <w:t>20</w:t>
      </w:r>
      <w:r>
        <w:rPr>
          <w:rFonts w:ascii="Times New Roman" w:eastAsia="仿宋" w:hAnsi="Times New Roman" w:cs="仿宋" w:hint="eastAsia"/>
          <w:bCs/>
          <w:color w:val="000000"/>
          <w:spacing w:val="11"/>
          <w:sz w:val="30"/>
          <w:szCs w:val="30"/>
        </w:rPr>
        <w:lastRenderedPageBreak/>
        <w:t>分钟公共服务圈。围绕街区科学规划部署综合商场、便民市场、超市、社区卫生服务站等生活服务设施，打造</w:t>
      </w:r>
      <w:r>
        <w:rPr>
          <w:rFonts w:ascii="Times New Roman" w:eastAsia="仿宋" w:hAnsi="Times New Roman" w:cs="仿宋" w:hint="eastAsia"/>
          <w:bCs/>
          <w:color w:val="000000"/>
          <w:spacing w:val="11"/>
          <w:sz w:val="30"/>
          <w:szCs w:val="30"/>
        </w:rPr>
        <w:t>10</w:t>
      </w:r>
      <w:r>
        <w:rPr>
          <w:rFonts w:ascii="Times New Roman" w:eastAsia="仿宋" w:hAnsi="Times New Roman" w:cs="仿宋" w:hint="eastAsia"/>
          <w:bCs/>
          <w:color w:val="000000"/>
          <w:spacing w:val="11"/>
          <w:sz w:val="30"/>
          <w:szCs w:val="30"/>
        </w:rPr>
        <w:t>分钟生活服务圈。围绕居民小区就近建设一批街头绿地、小型健身场所、文化活动中心等娱乐休闲设施，形成</w:t>
      </w:r>
      <w:r>
        <w:rPr>
          <w:rFonts w:ascii="Times New Roman" w:eastAsia="仿宋" w:hAnsi="Times New Roman" w:cs="仿宋" w:hint="eastAsia"/>
          <w:bCs/>
          <w:color w:val="000000"/>
          <w:spacing w:val="11"/>
          <w:sz w:val="30"/>
          <w:szCs w:val="30"/>
        </w:rPr>
        <w:t>5</w:t>
      </w:r>
      <w:r>
        <w:rPr>
          <w:rFonts w:ascii="Times New Roman" w:eastAsia="仿宋" w:hAnsi="Times New Roman" w:cs="仿宋" w:hint="eastAsia"/>
          <w:bCs/>
          <w:color w:val="000000"/>
          <w:spacing w:val="11"/>
          <w:sz w:val="30"/>
          <w:szCs w:val="30"/>
        </w:rPr>
        <w:t>分钟休闲健身</w:t>
      </w:r>
      <w:r>
        <w:rPr>
          <w:rFonts w:ascii="Times New Roman" w:eastAsia="仿宋" w:hAnsi="Times New Roman" w:cs="仿宋" w:hint="eastAsia"/>
          <w:bCs/>
          <w:color w:val="000000"/>
          <w:spacing w:val="-6"/>
          <w:sz w:val="30"/>
          <w:szCs w:val="30"/>
        </w:rPr>
        <w:t>生活圈。</w:t>
      </w:r>
    </w:p>
    <w:p w:rsidR="001328A6" w:rsidRDefault="001328A6">
      <w:pPr>
        <w:pBdr>
          <w:top w:val="none" w:sz="0" w:space="1" w:color="auto"/>
          <w:left w:val="none" w:sz="0" w:space="4" w:color="auto"/>
          <w:bottom w:val="none" w:sz="0" w:space="1" w:color="auto"/>
          <w:right w:val="none" w:sz="0" w:space="4" w:color="auto"/>
        </w:pBdr>
        <w:overflowPunct w:val="0"/>
        <w:spacing w:line="556" w:lineRule="exact"/>
        <w:jc w:val="center"/>
        <w:rPr>
          <w:rFonts w:ascii="Times New Roman" w:eastAsia="仿宋" w:hAnsi="Times New Roman" w:cs="仿宋"/>
          <w:bCs/>
          <w:sz w:val="30"/>
          <w:szCs w:val="30"/>
        </w:rPr>
      </w:pPr>
      <w:bookmarkStart w:id="242" w:name="_Toc11733"/>
      <w:bookmarkStart w:id="243" w:name="_Toc6027"/>
    </w:p>
    <w:p w:rsidR="001328A6" w:rsidRDefault="007F3236">
      <w:pPr>
        <w:pBdr>
          <w:top w:val="none" w:sz="0" w:space="1" w:color="auto"/>
          <w:left w:val="none" w:sz="0" w:space="4" w:color="auto"/>
          <w:bottom w:val="none" w:sz="0" w:space="1" w:color="auto"/>
          <w:right w:val="none" w:sz="0" w:space="4" w:color="auto"/>
        </w:pBdr>
        <w:overflowPunct w:val="0"/>
        <w:spacing w:line="556" w:lineRule="exact"/>
        <w:jc w:val="center"/>
        <w:outlineLvl w:val="2"/>
        <w:rPr>
          <w:rFonts w:ascii="Times New Roman" w:eastAsia="楷体" w:hAnsi="Times New Roman" w:cs="楷体"/>
          <w:bCs/>
          <w:sz w:val="32"/>
          <w:szCs w:val="32"/>
        </w:rPr>
      </w:pPr>
      <w:bookmarkStart w:id="244" w:name="_Toc746"/>
      <w:r>
        <w:rPr>
          <w:rFonts w:ascii="Times New Roman" w:eastAsia="楷体" w:hAnsi="Times New Roman" w:cs="楷体" w:hint="eastAsia"/>
          <w:bCs/>
          <w:sz w:val="32"/>
          <w:szCs w:val="32"/>
        </w:rPr>
        <w:t>第三节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推动房地产健康发展</w:t>
      </w:r>
      <w:bookmarkEnd w:id="242"/>
      <w:bookmarkEnd w:id="244"/>
    </w:p>
    <w:p w:rsidR="001328A6" w:rsidRDefault="001328A6">
      <w:pPr>
        <w:pBdr>
          <w:top w:val="none" w:sz="0" w:space="1" w:color="auto"/>
          <w:left w:val="none" w:sz="0" w:space="4" w:color="auto"/>
          <w:bottom w:val="none" w:sz="0" w:space="1" w:color="auto"/>
          <w:right w:val="none" w:sz="0" w:space="4" w:color="auto"/>
        </w:pBdr>
        <w:overflowPunct w:val="0"/>
        <w:spacing w:line="556"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6"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优化住房供给结构。坚持“房住不炒”定位，加快建立多主体供给、多渠道保障、租购并举的住房保障体系，满足城镇居民多层次的住房需求。加强房地产市场供需双向调节，改善住房供应结构，支持合理自住需求。科学调配房地产开发建设用地投放量，有序调整房地产开发节奏和规模</w:t>
      </w:r>
      <w:r>
        <w:rPr>
          <w:rFonts w:ascii="Times New Roman" w:eastAsia="仿宋" w:hAnsi="Times New Roman" w:cs="仿宋" w:hint="eastAsia"/>
          <w:bCs/>
          <w:sz w:val="30"/>
          <w:szCs w:val="30"/>
        </w:rPr>
        <w:t>，促进房地产市场平稳健康发展。</w:t>
      </w:r>
      <w:r>
        <w:rPr>
          <w:rFonts w:ascii="Times New Roman" w:eastAsia="仿宋" w:hAnsi="Times New Roman" w:cs="仿宋" w:hint="eastAsia"/>
          <w:bCs/>
          <w:color w:val="000000" w:themeColor="text1"/>
          <w:sz w:val="30"/>
          <w:szCs w:val="30"/>
        </w:rPr>
        <w:t>引进实力强、信誉好的大型房地产开发企业，打造环境优美、智能化程度高、物业服务好，以精装修房屋为主，适当配建装配式建筑的中高档改善型住宅小区。</w:t>
      </w:r>
    </w:p>
    <w:p w:rsidR="001328A6" w:rsidRDefault="007F3236">
      <w:pPr>
        <w:overflowPunct w:val="0"/>
        <w:spacing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积极推进老旧小区改造。推动低效用地再开发和老城复兴，合理整合各类空间资源，不断注入商业和文化要素，增强城市复合功能，完善市政公用设施和公共服务设施，促进城市更加</w:t>
      </w:r>
      <w:bookmarkStart w:id="245" w:name="_GoBack"/>
      <w:bookmarkEnd w:id="245"/>
      <w:r>
        <w:rPr>
          <w:rFonts w:ascii="Times New Roman" w:eastAsia="仿宋" w:hAnsi="Times New Roman" w:cs="仿宋" w:hint="eastAsia"/>
          <w:bCs/>
          <w:color w:val="000000" w:themeColor="text1"/>
          <w:sz w:val="30"/>
          <w:szCs w:val="30"/>
        </w:rPr>
        <w:t>健康安全宜居。多渠道筹集资金，合理运用公积金、住宅专项维修基金等，积极引导居民出资，对</w:t>
      </w:r>
      <w:r>
        <w:rPr>
          <w:rFonts w:ascii="Times New Roman" w:eastAsia="仿宋" w:hAnsi="Times New Roman" w:cs="仿宋" w:hint="eastAsia"/>
          <w:bCs/>
          <w:color w:val="000000" w:themeColor="text1"/>
          <w:sz w:val="30"/>
          <w:szCs w:val="30"/>
        </w:rPr>
        <w:t>2000</w:t>
      </w:r>
      <w:r>
        <w:rPr>
          <w:rFonts w:ascii="Times New Roman" w:eastAsia="仿宋" w:hAnsi="Times New Roman" w:cs="仿宋" w:hint="eastAsia"/>
          <w:bCs/>
          <w:color w:val="000000" w:themeColor="text1"/>
          <w:sz w:val="30"/>
          <w:szCs w:val="30"/>
        </w:rPr>
        <w:t>年以前建成的，已经出现基础设施老化、管线锈蚀、房屋渗漏、硬化绿化缺失等问题的老旧小区全面改造，实施管网更新、加装电梯、小区绿化美化和规范物业管理等工程，</w:t>
      </w:r>
      <w:r>
        <w:rPr>
          <w:rFonts w:ascii="Times New Roman" w:eastAsia="仿宋" w:hAnsi="Times New Roman" w:cs="仿宋" w:hint="eastAsia"/>
          <w:bCs/>
          <w:color w:val="000000" w:themeColor="text1"/>
          <w:sz w:val="30"/>
          <w:szCs w:val="30"/>
        </w:rPr>
        <w:lastRenderedPageBreak/>
        <w:t>建设完整居住社区。力争到</w:t>
      </w:r>
      <w:r>
        <w:rPr>
          <w:rFonts w:ascii="Times New Roman" w:eastAsia="仿宋" w:hAnsi="Times New Roman" w:cs="仿宋" w:hint="eastAsia"/>
          <w:bCs/>
          <w:color w:val="000000" w:themeColor="text1"/>
          <w:sz w:val="30"/>
          <w:szCs w:val="30"/>
        </w:rPr>
        <w:t>2025</w:t>
      </w:r>
      <w:r>
        <w:rPr>
          <w:rFonts w:ascii="Times New Roman" w:eastAsia="仿宋" w:hAnsi="Times New Roman" w:cs="仿宋" w:hint="eastAsia"/>
          <w:bCs/>
          <w:color w:val="000000" w:themeColor="text1"/>
          <w:sz w:val="30"/>
          <w:szCs w:val="30"/>
        </w:rPr>
        <w:t>年，基本完成</w:t>
      </w:r>
      <w:r>
        <w:rPr>
          <w:rFonts w:ascii="Times New Roman" w:eastAsia="仿宋" w:hAnsi="Times New Roman" w:cs="仿宋" w:hint="eastAsia"/>
          <w:bCs/>
          <w:color w:val="000000" w:themeColor="text1"/>
          <w:sz w:val="30"/>
          <w:szCs w:val="30"/>
        </w:rPr>
        <w:t>205</w:t>
      </w:r>
      <w:r>
        <w:rPr>
          <w:rFonts w:ascii="Times New Roman" w:eastAsia="仿宋" w:hAnsi="Times New Roman" w:cs="仿宋" w:hint="eastAsia"/>
          <w:bCs/>
          <w:color w:val="000000" w:themeColor="text1"/>
          <w:sz w:val="30"/>
          <w:szCs w:val="30"/>
        </w:rPr>
        <w:t>个老旧小区改造任务。</w:t>
      </w:r>
    </w:p>
    <w:p w:rsidR="001328A6" w:rsidRDefault="007F3236">
      <w:pPr>
        <w:overflowPunct w:val="0"/>
        <w:spacing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稳步推进棚户区改造。坚持尽力而为、量力而行原则，科学谋划，采取新建、改建（扩建、翻建）、“微改造”等多种方式稳步推进棚户区改造，因地制宜调整完善棚改货币化安置政策。创新体制机制，探索政府与企业合作新模式，以市场化运作、“留改拆”并举思路，探索适合乌海棚户区改造的新路子。加强对公租房房源和住房保障对象信息化管理，充分运用“互联网</w:t>
      </w:r>
      <w:r>
        <w:rPr>
          <w:rFonts w:ascii="Times New Roman" w:eastAsia="仿宋" w:hAnsi="Times New Roman" w:cs="仿宋" w:hint="eastAsia"/>
          <w:bCs/>
          <w:color w:val="000000" w:themeColor="text1"/>
          <w:sz w:val="30"/>
          <w:szCs w:val="30"/>
        </w:rPr>
        <w:t>+</w:t>
      </w:r>
      <w:r>
        <w:rPr>
          <w:rFonts w:ascii="Times New Roman" w:eastAsia="仿宋" w:hAnsi="Times New Roman" w:cs="仿宋" w:hint="eastAsia"/>
          <w:bCs/>
          <w:color w:val="000000" w:themeColor="text1"/>
          <w:sz w:val="30"/>
          <w:szCs w:val="30"/>
        </w:rPr>
        <w:t>政务服务”，实现住房保障申请审核“一网通办”，力争</w:t>
      </w:r>
      <w:r>
        <w:rPr>
          <w:rFonts w:ascii="Times New Roman" w:eastAsia="仿宋" w:hAnsi="Times New Roman" w:cs="仿宋" w:hint="eastAsia"/>
          <w:bCs/>
          <w:color w:val="000000" w:themeColor="text1"/>
          <w:sz w:val="30"/>
          <w:szCs w:val="30"/>
        </w:rPr>
        <w:t>2021</w:t>
      </w:r>
      <w:r>
        <w:rPr>
          <w:rFonts w:ascii="Times New Roman" w:eastAsia="仿宋" w:hAnsi="Times New Roman" w:cs="仿宋" w:hint="eastAsia"/>
          <w:bCs/>
          <w:color w:val="000000" w:themeColor="text1"/>
          <w:sz w:val="30"/>
          <w:szCs w:val="30"/>
        </w:rPr>
        <w:t>年各区公租房信息系统全面上线使用。健全完善公租房管理制度体系，探索采取市场化运作模式，委托国有企业进行专业化运营管理，提高公租房保障能力和管理效率。探索建立住房保障领域守</w:t>
      </w:r>
      <w:r>
        <w:rPr>
          <w:rFonts w:ascii="Times New Roman" w:eastAsia="仿宋" w:hAnsi="Times New Roman" w:cs="仿宋" w:hint="eastAsia"/>
          <w:bCs/>
          <w:color w:val="000000" w:themeColor="text1"/>
          <w:spacing w:val="6"/>
          <w:sz w:val="30"/>
          <w:szCs w:val="30"/>
        </w:rPr>
        <w:t>信联合激励和失信联合惩戒机制，完善保障对象进退审核监管机制。</w:t>
      </w:r>
    </w:p>
    <w:p w:rsidR="001328A6" w:rsidRDefault="007F3236">
      <w:pPr>
        <w:overflowPunct w:val="0"/>
        <w:spacing w:line="558"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color w:val="000000" w:themeColor="text1"/>
          <w:sz w:val="30"/>
          <w:szCs w:val="30"/>
        </w:rPr>
        <w:t>提升物业管理水平。</w:t>
      </w:r>
      <w:r>
        <w:rPr>
          <w:rFonts w:ascii="Times New Roman" w:eastAsia="仿宋" w:hAnsi="Times New Roman" w:cs="仿宋" w:hint="eastAsia"/>
          <w:bCs/>
          <w:sz w:val="30"/>
          <w:szCs w:val="30"/>
        </w:rPr>
        <w:t>推进住宅小区物业管理立法，扩大物业覆盖面，进一步建立完善符合我市实际的物业管理制度和服务标准体系，实现物业管理服务标准化、规范化。鼓励信誉好、管理规范的企业做大做强，引领行业发展，形成规模效应。推动物业企业借助互联网、物联网、大数据等信息网络技术发展线上线下服务业，构建高效便捷、公开透明的沟通交流智慧平台，提高智能化管理水平。</w:t>
      </w:r>
    </w:p>
    <w:p w:rsidR="001328A6" w:rsidRDefault="001328A6">
      <w:pPr>
        <w:overflowPunct w:val="0"/>
        <w:spacing w:line="558" w:lineRule="exact"/>
        <w:jc w:val="center"/>
        <w:rPr>
          <w:rFonts w:ascii="Times New Roman" w:eastAsia="仿宋" w:hAnsi="Times New Roman" w:cs="仿宋"/>
          <w:bCs/>
          <w:sz w:val="30"/>
          <w:szCs w:val="30"/>
        </w:rPr>
      </w:pPr>
      <w:bookmarkStart w:id="246" w:name="_Toc14302"/>
    </w:p>
    <w:p w:rsidR="001328A6" w:rsidRDefault="007F3236">
      <w:pPr>
        <w:overflowPunct w:val="0"/>
        <w:spacing w:line="558" w:lineRule="exact"/>
        <w:jc w:val="center"/>
        <w:outlineLvl w:val="2"/>
        <w:rPr>
          <w:rFonts w:ascii="Times New Roman" w:eastAsia="楷体" w:hAnsi="Times New Roman" w:cs="楷体"/>
          <w:bCs/>
          <w:sz w:val="32"/>
          <w:szCs w:val="32"/>
        </w:rPr>
      </w:pPr>
      <w:bookmarkStart w:id="247" w:name="_Toc297"/>
      <w:r>
        <w:rPr>
          <w:rFonts w:ascii="Times New Roman" w:eastAsia="楷体" w:hAnsi="Times New Roman" w:cs="楷体" w:hint="eastAsia"/>
          <w:bCs/>
          <w:sz w:val="32"/>
          <w:szCs w:val="32"/>
        </w:rPr>
        <w:t>第四节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提升城市管理水平</w:t>
      </w:r>
      <w:bookmarkEnd w:id="243"/>
      <w:bookmarkEnd w:id="246"/>
      <w:bookmarkEnd w:id="247"/>
    </w:p>
    <w:p w:rsidR="001328A6" w:rsidRDefault="001328A6">
      <w:pPr>
        <w:overflowPunct w:val="0"/>
        <w:spacing w:line="558" w:lineRule="exact"/>
        <w:ind w:firstLineChars="200" w:firstLine="600"/>
        <w:rPr>
          <w:rFonts w:ascii="Times New Roman" w:eastAsia="仿宋" w:hAnsi="Times New Roman" w:cs="仿宋"/>
          <w:bCs/>
          <w:color w:val="000000" w:themeColor="text1"/>
          <w:sz w:val="30"/>
          <w:szCs w:val="30"/>
        </w:rPr>
      </w:pPr>
    </w:p>
    <w:p w:rsidR="001328A6" w:rsidRDefault="007F3236">
      <w:pPr>
        <w:overflowPunct w:val="0"/>
        <w:spacing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加强城市精细化管理。坚持建管并重，牢固树立“绣花式”城</w:t>
      </w:r>
      <w:r>
        <w:rPr>
          <w:rFonts w:ascii="Times New Roman" w:eastAsia="仿宋" w:hAnsi="Times New Roman" w:cs="仿宋" w:hint="eastAsia"/>
          <w:bCs/>
          <w:color w:val="000000" w:themeColor="text1"/>
          <w:sz w:val="30"/>
          <w:szCs w:val="30"/>
        </w:rPr>
        <w:lastRenderedPageBreak/>
        <w:t>市管理理念，积极推进全国文明城市创建，以建设增强城市功能，以管理提升城市品位。推广“路长制”管理模式，推行网格化、精细化城市管理和服务，整治乱堆乱放、乱贴乱画、乱扔乱洒、乱停车辆等问题。完善政府购买服务，引入社会力量参与交通管理、环卫保洁、绿地养护、公共设施维护。推动加强城管执法机构和队伍建设，城市管理和执法重心下移，倡导人性执法和规范执法，为各类便民经济等经营模式留足发展空间，确保城市有序运行。</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610" w:lineRule="exact"/>
        <w:ind w:firstLine="641"/>
        <w:jc w:val="left"/>
        <w:rPr>
          <w:rFonts w:ascii="Times New Roman" w:eastAsia="仿宋_GB2312" w:hAnsi="Times New Roman" w:cs="Times New Roman"/>
          <w:bCs/>
          <w:color w:val="000000" w:themeColor="text1"/>
          <w:sz w:val="32"/>
          <w:szCs w:val="32"/>
        </w:rPr>
      </w:pPr>
      <w:r>
        <w:rPr>
          <w:rFonts w:ascii="Times New Roman" w:eastAsia="仿宋" w:hAnsi="Times New Roman" w:cs="仿宋" w:hint="eastAsia"/>
          <w:bCs/>
          <w:color w:val="000000" w:themeColor="text1"/>
          <w:sz w:val="30"/>
          <w:szCs w:val="30"/>
        </w:rPr>
        <w:t>加强智慧城市建设。以入选国家智慧城市试点为契机，推进城市物联网项目建设，为城市治理、公共服务、产业发展等提供智能化支撑服务。率先建设“城市大脑”，推动已有数据高度归集、各类平台高度整合、大数据分析高效精准，努力实现“一图全面感知、一屏智能决策、一体联动指挥”。稳步推进智慧应用项目建设，以优化提升公共服务为导向，在环境监测、水务水利、智能杆体、消防设施、智能水表、智能电表、智能气表、环卫设施、车位感应、管网监测等方面，实现城市运行实时状态可视化、城市管理决策协同化和智能化。</w:t>
      </w:r>
    </w:p>
    <w:tbl>
      <w:tblPr>
        <w:tblStyle w:val="ae"/>
        <w:tblW w:w="8522" w:type="dxa"/>
        <w:jc w:val="center"/>
        <w:tblLayout w:type="fixed"/>
        <w:tblLook w:val="04A0"/>
      </w:tblPr>
      <w:tblGrid>
        <w:gridCol w:w="8522"/>
      </w:tblGrid>
      <w:tr w:rsidR="001328A6">
        <w:trPr>
          <w:trHeight w:val="510"/>
          <w:jc w:val="center"/>
        </w:trPr>
        <w:tc>
          <w:tcPr>
            <w:tcW w:w="8522" w:type="dxa"/>
          </w:tcPr>
          <w:p w:rsidR="001328A6" w:rsidRDefault="007F3236">
            <w:pPr>
              <w:pBdr>
                <w:top w:val="none" w:sz="0" w:space="1" w:color="auto"/>
                <w:left w:val="none" w:sz="0" w:space="4" w:color="auto"/>
                <w:bottom w:val="none" w:sz="0" w:space="1" w:color="auto"/>
                <w:right w:val="none" w:sz="0" w:space="4" w:color="auto"/>
              </w:pBdr>
              <w:overflowPunct w:val="0"/>
              <w:spacing w:line="480" w:lineRule="exact"/>
              <w:jc w:val="center"/>
              <w:rPr>
                <w:rFonts w:ascii="Times New Roman" w:eastAsia="宋体" w:hAnsi="Times New Roman" w:cs="Times New Roman"/>
                <w:bCs/>
                <w:color w:val="000000" w:themeColor="text1"/>
                <w:sz w:val="28"/>
                <w:szCs w:val="28"/>
              </w:rPr>
            </w:pPr>
            <w:bookmarkStart w:id="248" w:name="_Toc28661"/>
            <w:r>
              <w:rPr>
                <w:rFonts w:ascii="Times New Roman" w:hAnsi="Times New Roman" w:cstheme="minorEastAsia" w:hint="eastAsia"/>
                <w:b/>
                <w:color w:val="000000" w:themeColor="text1"/>
                <w:sz w:val="24"/>
                <w:szCs w:val="24"/>
              </w:rPr>
              <w:t>专栏</w:t>
            </w:r>
            <w:r>
              <w:rPr>
                <w:rFonts w:ascii="Times New Roman" w:hAnsi="Times New Roman" w:cstheme="minorEastAsia" w:hint="eastAsia"/>
                <w:b/>
                <w:color w:val="000000" w:themeColor="text1"/>
                <w:sz w:val="24"/>
                <w:szCs w:val="24"/>
              </w:rPr>
              <w:t xml:space="preserve">9  </w:t>
            </w:r>
            <w:r>
              <w:rPr>
                <w:rFonts w:ascii="Times New Roman" w:hAnsi="Times New Roman" w:cstheme="minorEastAsia" w:hint="eastAsia"/>
                <w:b/>
                <w:color w:val="000000" w:themeColor="text1"/>
                <w:sz w:val="24"/>
                <w:szCs w:val="24"/>
              </w:rPr>
              <w:t>城市基础设施补短板强弱项重点工程</w:t>
            </w:r>
          </w:p>
        </w:tc>
      </w:tr>
      <w:tr w:rsidR="001328A6">
        <w:trPr>
          <w:jc w:val="center"/>
        </w:trPr>
        <w:tc>
          <w:tcPr>
            <w:tcW w:w="8522" w:type="dxa"/>
          </w:tcPr>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hAnsi="Times New Roman" w:cs="Times New Roman"/>
                <w:bCs/>
                <w:color w:val="FF0000"/>
                <w:sz w:val="24"/>
                <w:szCs w:val="24"/>
              </w:rPr>
            </w:pPr>
            <w:r>
              <w:rPr>
                <w:rFonts w:ascii="Times New Roman" w:hAnsi="Times New Roman" w:cs="Times New Roman"/>
                <w:bCs/>
                <w:sz w:val="24"/>
                <w:szCs w:val="24"/>
              </w:rPr>
              <w:t>加快老城区供热、供水、供气等老旧管网提质改造，配套建设净水厂及管网，实施棚户区改造项目，提升新旧城区路网连接度。完善滨河新区道路、绿化、管网等市政基础设施，建设市域社会治理指挥服务中心、城市综合管理应用平台、综合应急救援基地等项目。</w:t>
            </w:r>
          </w:p>
        </w:tc>
      </w:tr>
    </w:tbl>
    <w:p w:rsidR="001328A6" w:rsidRDefault="001328A6">
      <w:pPr>
        <w:pStyle w:val="a0"/>
        <w:overflowPunct w:val="0"/>
        <w:spacing w:before="0" w:after="0" w:line="610" w:lineRule="exact"/>
        <w:outlineLvl w:val="9"/>
        <w:rPr>
          <w:rFonts w:ascii="Times New Roman" w:hAnsi="Times New Roman" w:cs="Times New Roman"/>
          <w:b w:val="0"/>
        </w:rPr>
      </w:pPr>
    </w:p>
    <w:p w:rsidR="001328A6" w:rsidRDefault="001328A6">
      <w:pPr>
        <w:pStyle w:val="a4"/>
      </w:pPr>
    </w:p>
    <w:p w:rsidR="001328A6" w:rsidRDefault="007F3236">
      <w:pPr>
        <w:pBdr>
          <w:top w:val="none" w:sz="0" w:space="1" w:color="auto"/>
          <w:left w:val="none" w:sz="0" w:space="4" w:color="auto"/>
          <w:bottom w:val="none" w:sz="0" w:space="1" w:color="auto"/>
          <w:right w:val="none" w:sz="0" w:space="4" w:color="auto"/>
        </w:pBdr>
        <w:overflowPunct w:val="0"/>
        <w:spacing w:line="610" w:lineRule="exact"/>
        <w:jc w:val="center"/>
        <w:outlineLvl w:val="1"/>
        <w:rPr>
          <w:rFonts w:ascii="Times New Roman" w:eastAsia="黑体" w:hAnsi="Times New Roman" w:cs="黑体"/>
          <w:bCs/>
          <w:sz w:val="32"/>
          <w:szCs w:val="36"/>
        </w:rPr>
      </w:pPr>
      <w:bookmarkStart w:id="249" w:name="_Toc29044"/>
      <w:bookmarkStart w:id="250" w:name="_Toc2839"/>
      <w:r>
        <w:rPr>
          <w:rFonts w:ascii="Times New Roman" w:eastAsia="黑体" w:hAnsi="Times New Roman" w:cs="黑体" w:hint="eastAsia"/>
          <w:bCs/>
          <w:sz w:val="32"/>
          <w:szCs w:val="36"/>
        </w:rPr>
        <w:lastRenderedPageBreak/>
        <w:t>第十八章</w:t>
      </w:r>
      <w:r>
        <w:rPr>
          <w:rFonts w:ascii="Times New Roman" w:eastAsia="黑体" w:hAnsi="Times New Roman" w:cs="黑体" w:hint="eastAsia"/>
          <w:bCs/>
          <w:sz w:val="32"/>
          <w:szCs w:val="36"/>
        </w:rPr>
        <w:t xml:space="preserve"> </w:t>
      </w:r>
      <w:r>
        <w:rPr>
          <w:rFonts w:ascii="Times New Roman" w:eastAsia="黑体" w:hAnsi="Times New Roman" w:cs="黑体" w:hint="eastAsia"/>
          <w:bCs/>
          <w:sz w:val="32"/>
          <w:szCs w:val="36"/>
        </w:rPr>
        <w:t>新老基建并重改善基础设施支撑条件</w:t>
      </w:r>
      <w:bookmarkEnd w:id="248"/>
      <w:bookmarkEnd w:id="249"/>
      <w:bookmarkEnd w:id="250"/>
    </w:p>
    <w:p w:rsidR="001328A6" w:rsidRDefault="001328A6">
      <w:pPr>
        <w:pStyle w:val="a0"/>
        <w:overflowPunct w:val="0"/>
        <w:spacing w:before="0" w:after="0" w:line="580" w:lineRule="exact"/>
        <w:outlineLvl w:val="9"/>
        <w:rPr>
          <w:rFonts w:ascii="Times New Roman" w:eastAsia="仿宋_GB2312" w:hAnsi="Times New Roman" w:cs="Times New Roman"/>
          <w:b w:val="0"/>
          <w:color w:val="000000" w:themeColor="text1"/>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B050"/>
          <w:sz w:val="30"/>
          <w:szCs w:val="30"/>
        </w:rPr>
      </w:pPr>
      <w:r>
        <w:rPr>
          <w:rFonts w:ascii="Times New Roman" w:eastAsia="仿宋" w:hAnsi="Times New Roman" w:cs="仿宋" w:hint="eastAsia"/>
          <w:bCs/>
          <w:color w:val="000000" w:themeColor="text1"/>
          <w:sz w:val="30"/>
          <w:szCs w:val="30"/>
        </w:rPr>
        <w:t>构建高效实用、智能绿色、安全可靠的现代化基础设施体系，同步推进“老基建”与“新基建”，增强基础设施系统化协同化发展水平。加快公路、铁路、航空网及物流运输通道建设；系统布局新型基础设施，完善能源储供销体系，推动水利基础设施建设，提升灾害防御能力。</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251" w:name="_Toc3212"/>
      <w:bookmarkStart w:id="252" w:name="_Toc12113"/>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253" w:name="_Toc5243"/>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推动交通基础设施扩能提质</w:t>
      </w:r>
      <w:bookmarkEnd w:id="251"/>
      <w:bookmarkEnd w:id="252"/>
      <w:bookmarkEnd w:id="253"/>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健全交通物流基础设施体系。推动大通道大枢纽建设优化升级，科学合理确定综合交通规模、结构、层次，统筹推进区域现代化综合交通运输体系规划建设，</w:t>
      </w:r>
      <w:r>
        <w:rPr>
          <w:rFonts w:ascii="Times New Roman" w:eastAsia="仿宋" w:hAnsi="Times New Roman" w:cs="仿宋" w:hint="eastAsia"/>
          <w:bCs/>
          <w:sz w:val="30"/>
          <w:szCs w:val="30"/>
        </w:rPr>
        <w:t>加快建设高规格铁路网、广覆盖公路网、</w:t>
      </w:r>
      <w:r>
        <w:rPr>
          <w:rFonts w:ascii="Times New Roman" w:eastAsia="仿宋" w:hAnsi="Times New Roman" w:cs="仿宋" w:hint="eastAsia"/>
          <w:bCs/>
          <w:color w:val="000000" w:themeColor="text1"/>
          <w:sz w:val="30"/>
          <w:szCs w:val="30"/>
        </w:rPr>
        <w:t>全方位航空</w:t>
      </w:r>
      <w:r>
        <w:rPr>
          <w:rFonts w:ascii="Times New Roman" w:eastAsia="仿宋" w:hAnsi="Times New Roman" w:cs="仿宋" w:hint="eastAsia"/>
          <w:bCs/>
          <w:sz w:val="30"/>
          <w:szCs w:val="30"/>
        </w:rPr>
        <w:t>网，</w:t>
      </w:r>
      <w:r>
        <w:rPr>
          <w:rFonts w:ascii="Times New Roman" w:eastAsia="仿宋" w:hAnsi="Times New Roman" w:cs="仿宋" w:hint="eastAsia"/>
          <w:bCs/>
          <w:color w:val="000000" w:themeColor="text1"/>
          <w:sz w:val="30"/>
          <w:szCs w:val="30"/>
        </w:rPr>
        <w:t>促进各种交通方式顺畅衔接和功能互补，提升交通体系运行效率。大力发展智能交通，制定实施智能交通发展战略，提升交通基础设施智能化水平。整合优化物流资源，规划建设综合交通枢纽和配套商圈，建设多式联运站场和换装转运等配套设施，促进干线、支线物流和末端配送一体化发展。</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color w:val="000000" w:themeColor="text1"/>
          <w:sz w:val="30"/>
          <w:szCs w:val="30"/>
        </w:rPr>
        <w:t>完善公路网络。围绕</w:t>
      </w:r>
      <w:r>
        <w:rPr>
          <w:rFonts w:ascii="Times New Roman" w:eastAsia="仿宋" w:hAnsi="Times New Roman" w:cs="仿宋" w:hint="eastAsia"/>
          <w:bCs/>
          <w:sz w:val="30"/>
          <w:szCs w:val="30"/>
        </w:rPr>
        <w:t>呼包银（鄂）榆</w:t>
      </w:r>
      <w:r>
        <w:rPr>
          <w:rFonts w:ascii="Times New Roman" w:eastAsia="仿宋" w:hAnsi="Times New Roman" w:cs="仿宋" w:hint="eastAsia"/>
          <w:bCs/>
          <w:color w:val="000000" w:themeColor="text1"/>
          <w:sz w:val="30"/>
          <w:szCs w:val="30"/>
        </w:rPr>
        <w:t>城市群、黄河几字弯、乌海及周边地区协同发展和对蒙古国开放的需要，</w:t>
      </w:r>
      <w:r>
        <w:rPr>
          <w:rFonts w:ascii="Times New Roman" w:eastAsia="仿宋" w:hAnsi="Times New Roman" w:cs="仿宋" w:hint="eastAsia"/>
          <w:bCs/>
          <w:sz w:val="30"/>
          <w:szCs w:val="30"/>
        </w:rPr>
        <w:t>加快推动自治区西部区域物流中心建设，大力发展联程联运，规划建设乌海市域内国家和地方高速公路、国省干线与各大园区和企业之间联络线，</w:t>
      </w:r>
      <w:r>
        <w:rPr>
          <w:rFonts w:ascii="Times New Roman" w:eastAsia="仿宋" w:hAnsi="Times New Roman" w:cs="仿宋" w:hint="eastAsia"/>
          <w:bCs/>
          <w:color w:val="000000" w:themeColor="text1"/>
          <w:sz w:val="30"/>
          <w:szCs w:val="30"/>
        </w:rPr>
        <w:t>畅通</w:t>
      </w:r>
      <w:r>
        <w:rPr>
          <w:rFonts w:ascii="Times New Roman" w:eastAsia="仿宋" w:hAnsi="Times New Roman" w:cs="仿宋" w:hint="eastAsia"/>
          <w:bCs/>
          <w:color w:val="000000" w:themeColor="text1"/>
          <w:sz w:val="30"/>
          <w:szCs w:val="30"/>
        </w:rPr>
        <w:lastRenderedPageBreak/>
        <w:t>区域协作和产业发展的资源通道。</w:t>
      </w:r>
      <w:r>
        <w:rPr>
          <w:rFonts w:ascii="Times New Roman" w:eastAsia="仿宋" w:hAnsi="Times New Roman" w:cs="仿宋" w:hint="eastAsia"/>
          <w:bCs/>
          <w:sz w:val="30"/>
          <w:szCs w:val="30"/>
        </w:rPr>
        <w:t>规划连接鄂尔多斯市棋盘井和蒙西、阿拉善盟乌斯太等地区的重载公路，打通快速公路瓶颈、连接断头路，实现乌海与周边地区基础设施互联互通、高效循环。完善干线公路与城市道路的顺畅衔接，进一步优化提升“四横四纵五桥三路”的内部公路网络，打通微循环。优化农区交通基础设施网，深入推进“四好农村路”建设。加快县乡公路改造、窄路拓宽工程建设，实施资源路、产业路、旅游路项目。</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优化区域铁路网。按照“客运提速、货运无缝、客货分流”的目标</w:t>
      </w:r>
      <w:r>
        <w:rPr>
          <w:rFonts w:ascii="Times New Roman" w:eastAsia="仿宋" w:hAnsi="Times New Roman" w:cs="仿宋" w:hint="eastAsia"/>
          <w:bCs/>
          <w:sz w:val="30"/>
          <w:szCs w:val="30"/>
        </w:rPr>
        <w:t>，启动乌海站（铁路）货场迁建项目，实现货运无缝对接。完成包银高铁乌海段以及海勃湾、乌海南两座新站建设，保障包银高铁顺利开通。持续完善区域</w:t>
      </w:r>
      <w:r>
        <w:rPr>
          <w:rFonts w:ascii="Times New Roman" w:eastAsia="仿宋" w:hAnsi="Times New Roman" w:cs="仿宋" w:hint="eastAsia"/>
          <w:bCs/>
          <w:color w:val="000000" w:themeColor="text1"/>
          <w:sz w:val="30"/>
          <w:szCs w:val="30"/>
        </w:rPr>
        <w:t>铁路网络，加强“公转铁”项目建设，推动形成以铁路为主的运输结构，实施低碳产业园物流配套铁路等</w:t>
      </w:r>
      <w:r>
        <w:rPr>
          <w:rFonts w:ascii="Times New Roman" w:eastAsia="仿宋" w:hAnsi="Times New Roman" w:cs="仿宋" w:hint="eastAsia"/>
          <w:bCs/>
          <w:color w:val="000000" w:themeColor="text1"/>
          <w:spacing w:val="-6"/>
          <w:sz w:val="30"/>
          <w:szCs w:val="30"/>
        </w:rPr>
        <w:t>项目建设，重点解决物流园区、铁路专用线、铁路干线之间短倒问题。</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color w:val="000000" w:themeColor="text1"/>
          <w:sz w:val="30"/>
          <w:szCs w:val="30"/>
        </w:rPr>
        <w:t>推动民航加快发展。</w:t>
      </w:r>
      <w:r>
        <w:rPr>
          <w:rFonts w:ascii="Times New Roman" w:eastAsia="仿宋" w:hAnsi="Times New Roman" w:cs="仿宋" w:hint="eastAsia"/>
          <w:bCs/>
          <w:sz w:val="30"/>
          <w:szCs w:val="30"/>
        </w:rPr>
        <w:t>推动乌海机场提升为临时口岸机场，全面提升乌海机场内通外联能力。实施乌海机场飞行区改扩建工程，满足各类机型起降和新增远程直飞航线开发需要。开通短距离航线，发展景区低空体验游览。积极推进航线网络建设，根据包银高铁开通后客流需求变化，适时加密北京、郑州、西安等城市航线，开通长三角、珠三角主要城市直飞航线。努力提升货运能力，大力发展空港物流和临空经济，建设航空特色小镇。</w:t>
      </w:r>
    </w:p>
    <w:p w:rsidR="001328A6" w:rsidRDefault="007F3236">
      <w:pPr>
        <w:rPr>
          <w:rFonts w:ascii="Times New Roman" w:eastAsia="仿宋" w:hAnsi="Times New Roman" w:cs="仿宋"/>
          <w:bCs/>
          <w:sz w:val="30"/>
          <w:szCs w:val="30"/>
        </w:rPr>
      </w:pPr>
      <w:r>
        <w:rPr>
          <w:rFonts w:ascii="Times New Roman" w:eastAsia="仿宋" w:hAnsi="Times New Roman" w:cs="仿宋" w:hint="eastAsia"/>
          <w:bCs/>
          <w:sz w:val="30"/>
          <w:szCs w:val="30"/>
        </w:rPr>
        <w:br w:type="page"/>
      </w:r>
    </w:p>
    <w:tbl>
      <w:tblPr>
        <w:tblStyle w:val="ae"/>
        <w:tblpPr w:leftFromText="180" w:rightFromText="180" w:vertAnchor="text" w:horzAnchor="page" w:tblpX="1793" w:tblpY="1"/>
        <w:tblOverlap w:val="never"/>
        <w:tblW w:w="8522" w:type="dxa"/>
        <w:tblLayout w:type="fixed"/>
        <w:tblLook w:val="04A0"/>
      </w:tblPr>
      <w:tblGrid>
        <w:gridCol w:w="8522"/>
      </w:tblGrid>
      <w:tr w:rsidR="001328A6">
        <w:trPr>
          <w:trHeight w:val="510"/>
        </w:trPr>
        <w:tc>
          <w:tcPr>
            <w:tcW w:w="8522" w:type="dxa"/>
          </w:tcPr>
          <w:p w:rsidR="001328A6" w:rsidRDefault="007F3236">
            <w:pPr>
              <w:pBdr>
                <w:top w:val="none" w:sz="0" w:space="1" w:color="auto"/>
                <w:left w:val="none" w:sz="0" w:space="4" w:color="auto"/>
                <w:bottom w:val="none" w:sz="0" w:space="1" w:color="auto"/>
                <w:right w:val="none" w:sz="0" w:space="4" w:color="auto"/>
              </w:pBdr>
              <w:overflowPunct w:val="0"/>
              <w:spacing w:line="480" w:lineRule="exact"/>
              <w:jc w:val="center"/>
              <w:rPr>
                <w:rFonts w:ascii="Times New Roman" w:eastAsia="宋体" w:hAnsi="Times New Roman" w:cs="Times New Roman"/>
                <w:bCs/>
                <w:color w:val="000000" w:themeColor="text1"/>
                <w:sz w:val="24"/>
                <w:szCs w:val="24"/>
              </w:rPr>
            </w:pPr>
            <w:r>
              <w:rPr>
                <w:rFonts w:ascii="Times New Roman" w:hAnsi="Times New Roman" w:cstheme="minorEastAsia" w:hint="eastAsia"/>
                <w:b/>
                <w:color w:val="000000" w:themeColor="text1"/>
                <w:sz w:val="24"/>
                <w:szCs w:val="24"/>
              </w:rPr>
              <w:lastRenderedPageBreak/>
              <w:t>专栏</w:t>
            </w:r>
            <w:r>
              <w:rPr>
                <w:rFonts w:ascii="Times New Roman" w:hAnsi="Times New Roman" w:cstheme="minorEastAsia" w:hint="eastAsia"/>
                <w:b/>
                <w:color w:val="000000" w:themeColor="text1"/>
                <w:sz w:val="24"/>
                <w:szCs w:val="24"/>
              </w:rPr>
              <w:t xml:space="preserve">10  </w:t>
            </w:r>
            <w:r>
              <w:rPr>
                <w:rFonts w:ascii="Times New Roman" w:hAnsi="Times New Roman" w:cstheme="minorEastAsia" w:hint="eastAsia"/>
                <w:b/>
                <w:color w:val="000000" w:themeColor="text1"/>
                <w:sz w:val="24"/>
                <w:szCs w:val="24"/>
              </w:rPr>
              <w:t>交通基础设施扩能提质重点工程</w:t>
            </w:r>
          </w:p>
        </w:tc>
      </w:tr>
      <w:tr w:rsidR="001328A6">
        <w:tc>
          <w:tcPr>
            <w:tcW w:w="8522" w:type="dxa"/>
          </w:tcPr>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一、铁路重点建设项目</w:t>
            </w:r>
          </w:p>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包银高铁乌海段、乌海</w:t>
            </w:r>
            <w:r>
              <w:rPr>
                <w:rFonts w:ascii="Times New Roman" w:eastAsia="宋体" w:hAnsi="Times New Roman" w:cs="Times New Roman"/>
                <w:bCs/>
                <w:sz w:val="24"/>
                <w:szCs w:val="24"/>
              </w:rPr>
              <w:t>—</w:t>
            </w:r>
            <w:r>
              <w:rPr>
                <w:rFonts w:ascii="Times New Roman" w:eastAsia="宋体" w:hAnsi="Times New Roman" w:cs="Times New Roman"/>
                <w:bCs/>
                <w:sz w:val="24"/>
                <w:szCs w:val="24"/>
              </w:rPr>
              <w:t>吉兰泰铁路扩能改造、低碳产业园铁路专用线等项目。</w:t>
            </w:r>
          </w:p>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二、公路重点建设项目</w:t>
            </w:r>
          </w:p>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S37</w:t>
            </w:r>
            <w:r>
              <w:rPr>
                <w:rFonts w:ascii="Times New Roman" w:eastAsia="宋体" w:hAnsi="Times New Roman" w:cs="Times New Roman"/>
                <w:bCs/>
                <w:sz w:val="24"/>
                <w:szCs w:val="24"/>
              </w:rPr>
              <w:t>乌海至宁东高速公路乌海至上海庙段、</w:t>
            </w:r>
            <w:r>
              <w:rPr>
                <w:rFonts w:ascii="Times New Roman" w:eastAsia="宋体" w:hAnsi="Times New Roman" w:cs="Times New Roman"/>
                <w:bCs/>
                <w:sz w:val="24"/>
                <w:szCs w:val="24"/>
              </w:rPr>
              <w:t>S318</w:t>
            </w:r>
            <w:r>
              <w:rPr>
                <w:rFonts w:ascii="Times New Roman" w:eastAsia="宋体" w:hAnsi="Times New Roman" w:cs="Times New Roman"/>
                <w:bCs/>
                <w:sz w:val="24"/>
                <w:szCs w:val="24"/>
              </w:rPr>
              <w:t>线甘德尔山至乌海湖大桥段、海南至乌达重载公路互通改建、</w:t>
            </w:r>
            <w:r>
              <w:rPr>
                <w:rFonts w:ascii="Times New Roman" w:eastAsia="宋体" w:hAnsi="Times New Roman" w:cs="Times New Roman"/>
                <w:bCs/>
                <w:sz w:val="24"/>
                <w:szCs w:val="24"/>
              </w:rPr>
              <w:t>S217</w:t>
            </w:r>
            <w:r>
              <w:rPr>
                <w:rFonts w:ascii="Times New Roman" w:eastAsia="宋体" w:hAnsi="Times New Roman" w:cs="Times New Roman"/>
                <w:bCs/>
                <w:sz w:val="24"/>
                <w:szCs w:val="24"/>
              </w:rPr>
              <w:t>海勃湾绕城段、</w:t>
            </w:r>
            <w:r>
              <w:rPr>
                <w:rFonts w:ascii="Times New Roman" w:eastAsia="宋体" w:hAnsi="Times New Roman" w:cs="Times New Roman"/>
                <w:bCs/>
                <w:sz w:val="24"/>
                <w:szCs w:val="24"/>
              </w:rPr>
              <w:t>S217</w:t>
            </w:r>
            <w:r>
              <w:rPr>
                <w:rFonts w:ascii="Times New Roman" w:eastAsia="宋体" w:hAnsi="Times New Roman" w:cs="Times New Roman"/>
                <w:bCs/>
                <w:sz w:val="24"/>
                <w:szCs w:val="24"/>
              </w:rPr>
              <w:t>线</w:t>
            </w:r>
            <w:r>
              <w:rPr>
                <w:rFonts w:ascii="Times New Roman" w:eastAsia="宋体" w:hAnsi="Times New Roman" w:cs="Times New Roman"/>
                <w:bCs/>
                <w:sz w:val="24"/>
                <w:szCs w:val="24"/>
              </w:rPr>
              <w:t>K7+707</w:t>
            </w:r>
            <w:r>
              <w:rPr>
                <w:rFonts w:ascii="Times New Roman" w:eastAsia="宋体" w:hAnsi="Times New Roman" w:cs="Times New Roman"/>
                <w:bCs/>
                <w:sz w:val="24"/>
                <w:szCs w:val="24"/>
              </w:rPr>
              <w:t>至</w:t>
            </w:r>
            <w:r>
              <w:rPr>
                <w:rFonts w:ascii="Times New Roman" w:eastAsia="宋体" w:hAnsi="Times New Roman" w:cs="Times New Roman"/>
                <w:bCs/>
                <w:sz w:val="24"/>
                <w:szCs w:val="24"/>
              </w:rPr>
              <w:t>K8+718</w:t>
            </w:r>
            <w:r>
              <w:rPr>
                <w:rFonts w:ascii="Times New Roman" w:eastAsia="宋体" w:hAnsi="Times New Roman" w:cs="Times New Roman"/>
                <w:bCs/>
                <w:sz w:val="24"/>
                <w:szCs w:val="24"/>
              </w:rPr>
              <w:t>段灾毁重建、荣乌高速巴音陶亥互通立交连接线、运煤通道改道、环乌海湖景观道路、乌达区五虎山矿区公路改建、</w:t>
            </w:r>
            <w:r>
              <w:rPr>
                <w:rFonts w:ascii="Times New Roman" w:eastAsia="宋体" w:hAnsi="Times New Roman" w:cs="Times New Roman"/>
                <w:bCs/>
                <w:sz w:val="24"/>
                <w:szCs w:val="24"/>
              </w:rPr>
              <w:t>X159</w:t>
            </w:r>
            <w:r>
              <w:rPr>
                <w:rFonts w:ascii="Times New Roman" w:eastAsia="宋体" w:hAnsi="Times New Roman" w:cs="Times New Roman"/>
                <w:bCs/>
                <w:sz w:val="24"/>
                <w:szCs w:val="24"/>
              </w:rPr>
              <w:t>线至华信煤焦化公司重载公路、</w:t>
            </w:r>
            <w:r>
              <w:rPr>
                <w:rFonts w:ascii="Times New Roman" w:eastAsia="宋体" w:hAnsi="Times New Roman" w:cs="Times New Roman"/>
                <w:bCs/>
                <w:sz w:val="24"/>
                <w:szCs w:val="24"/>
              </w:rPr>
              <w:t>G1816</w:t>
            </w:r>
            <w:r>
              <w:rPr>
                <w:rFonts w:ascii="Times New Roman" w:eastAsia="宋体" w:hAnsi="Times New Roman" w:cs="Times New Roman"/>
                <w:bCs/>
                <w:sz w:val="24"/>
                <w:szCs w:val="24"/>
              </w:rPr>
              <w:t>乌海至石嘴山（蒙宁界）、海南公交客运枢纽站等项目。</w:t>
            </w:r>
          </w:p>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三、机场重点建设项目</w:t>
            </w:r>
          </w:p>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eastAsia="宋体" w:hAnsi="Times New Roman" w:cs="Times New Roman"/>
                <w:bCs/>
                <w:color w:val="000000" w:themeColor="text1"/>
                <w:sz w:val="24"/>
                <w:szCs w:val="24"/>
              </w:rPr>
            </w:pPr>
            <w:r>
              <w:rPr>
                <w:rFonts w:ascii="Times New Roman" w:eastAsia="宋体" w:hAnsi="Times New Roman" w:cs="Times New Roman"/>
                <w:bCs/>
                <w:sz w:val="24"/>
                <w:szCs w:val="24"/>
              </w:rPr>
              <w:t>乌海机场改扩建项目</w:t>
            </w:r>
            <w:r>
              <w:rPr>
                <w:rFonts w:ascii="Times New Roman" w:eastAsia="宋体" w:hAnsi="Times New Roman" w:cs="Times New Roman"/>
                <w:bCs/>
                <w:color w:val="000000" w:themeColor="text1"/>
                <w:sz w:val="24"/>
                <w:szCs w:val="24"/>
              </w:rPr>
              <w:t>、乌海湖通用机场项目。</w:t>
            </w:r>
          </w:p>
        </w:tc>
      </w:tr>
    </w:tbl>
    <w:p w:rsidR="001328A6" w:rsidRDefault="001328A6">
      <w:pPr>
        <w:pBdr>
          <w:top w:val="none" w:sz="0" w:space="1" w:color="auto"/>
          <w:left w:val="none" w:sz="0" w:space="4" w:color="auto"/>
          <w:bottom w:val="none" w:sz="0" w:space="1" w:color="auto"/>
          <w:right w:val="none" w:sz="0" w:space="4" w:color="auto"/>
        </w:pBdr>
        <w:overflowPunct w:val="0"/>
        <w:spacing w:line="585" w:lineRule="exact"/>
        <w:jc w:val="center"/>
        <w:outlineLvl w:val="2"/>
        <w:rPr>
          <w:rFonts w:ascii="Times New Roman" w:eastAsia="楷体_GB2312" w:hAnsi="Times New Roman" w:cs="Times New Roman"/>
          <w:bCs/>
          <w:sz w:val="32"/>
          <w:szCs w:val="32"/>
        </w:rPr>
      </w:pPr>
      <w:bookmarkStart w:id="254" w:name="_Toc8398"/>
      <w:bookmarkStart w:id="255" w:name="_Toc8400"/>
      <w:bookmarkStart w:id="256" w:name="_Toc9015"/>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r>
        <w:rPr>
          <w:rFonts w:ascii="Times New Roman" w:eastAsia="楷体" w:hAnsi="Times New Roman" w:cs="楷体" w:hint="eastAsia"/>
          <w:bCs/>
          <w:sz w:val="32"/>
          <w:szCs w:val="32"/>
        </w:rPr>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配套完善能源产供储销体系</w:t>
      </w:r>
      <w:bookmarkEnd w:id="254"/>
      <w:bookmarkEnd w:id="255"/>
      <w:bookmarkEnd w:id="256"/>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jc w:val="left"/>
        <w:rPr>
          <w:rFonts w:ascii="Times New Roman" w:eastAsia="仿宋" w:hAnsi="Times New Roman" w:cs="仿宋"/>
          <w:bCs/>
          <w:color w:val="00000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jc w:val="left"/>
        <w:rPr>
          <w:rFonts w:ascii="Times New Roman" w:eastAsia="仿宋" w:hAnsi="Times New Roman" w:cs="仿宋"/>
          <w:bCs/>
          <w:sz w:val="30"/>
          <w:szCs w:val="30"/>
        </w:rPr>
      </w:pPr>
      <w:r>
        <w:rPr>
          <w:rFonts w:ascii="Times New Roman" w:eastAsia="仿宋" w:hAnsi="Times New Roman" w:cs="仿宋" w:hint="eastAsia"/>
          <w:bCs/>
          <w:color w:val="000000"/>
          <w:sz w:val="30"/>
          <w:szCs w:val="30"/>
        </w:rPr>
        <w:t>加强新能源基础设施建设。建立智慧能源中心，打通能源行业数据通道。着力推动形成多种能源协同互补、综合利用、集约高效的供能方式。推进抽水蓄能电站、矿区综合治理光伏发电等新能源项目建设，逐步提高新能源装机比重。结合氢能源、新能源汽车等产业发展需求，加快充电站（桩）、加氢站等新型基础设施建设，发挥制氢成本优势，提升新能源消纳、存储、应用能力。利用现有站点，科学布局建设与车辆规模相匹配的加氢、加油、加气综合站。</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sz w:val="30"/>
          <w:szCs w:val="30"/>
        </w:rPr>
      </w:pPr>
      <w:r>
        <w:rPr>
          <w:rFonts w:ascii="Times New Roman" w:eastAsia="仿宋" w:hAnsi="Times New Roman" w:cs="仿宋" w:hint="eastAsia"/>
          <w:bCs/>
          <w:color w:val="000000"/>
          <w:sz w:val="30"/>
          <w:szCs w:val="30"/>
        </w:rPr>
        <w:t>着力提高电网保障能力。在满足区域用电需求的基础上，统筹解决用电紧张、民生供热问题，实现区域电力平衡。进一步优化电</w:t>
      </w:r>
      <w:r>
        <w:rPr>
          <w:rFonts w:ascii="Times New Roman" w:eastAsia="仿宋" w:hAnsi="Times New Roman" w:cs="仿宋" w:hint="eastAsia"/>
          <w:bCs/>
          <w:color w:val="000000"/>
          <w:sz w:val="30"/>
          <w:szCs w:val="30"/>
        </w:rPr>
        <w:lastRenderedPageBreak/>
        <w:t>网网架结构，推动园区电力线路整合，加快输配电网建设和改造升级，进一步降低电网安全隐患。完善区域供电主网架，改造升级农区电网，提高电网可靠性、安全性，完善城乡输配电网，增强用电保障水平。</w:t>
      </w:r>
    </w:p>
    <w:p w:rsidR="001328A6" w:rsidRDefault="001328A6">
      <w:pPr>
        <w:pBdr>
          <w:top w:val="none" w:sz="0" w:space="1" w:color="auto"/>
          <w:left w:val="none" w:sz="0" w:space="4" w:color="auto"/>
          <w:bottom w:val="none" w:sz="0" w:space="1" w:color="auto"/>
          <w:right w:val="none" w:sz="0" w:space="4" w:color="auto"/>
        </w:pBdr>
        <w:overflowPunct w:val="0"/>
        <w:spacing w:line="585" w:lineRule="exact"/>
        <w:jc w:val="center"/>
        <w:rPr>
          <w:rFonts w:ascii="Times New Roman" w:eastAsia="仿宋" w:hAnsi="Times New Roman" w:cs="仿宋"/>
          <w:bCs/>
          <w:sz w:val="30"/>
          <w:szCs w:val="30"/>
        </w:rPr>
      </w:pPr>
      <w:bookmarkStart w:id="257" w:name="_Toc23908"/>
      <w:bookmarkStart w:id="258" w:name="_Toc19007"/>
    </w:p>
    <w:p w:rsidR="001328A6" w:rsidRDefault="007F3236">
      <w:pPr>
        <w:pBdr>
          <w:top w:val="none" w:sz="0" w:space="1" w:color="auto"/>
          <w:left w:val="none" w:sz="0" w:space="4" w:color="auto"/>
          <w:bottom w:val="none" w:sz="0" w:space="1" w:color="auto"/>
          <w:right w:val="none" w:sz="0" w:space="4" w:color="auto"/>
        </w:pBdr>
        <w:overflowPunct w:val="0"/>
        <w:spacing w:line="585" w:lineRule="exact"/>
        <w:jc w:val="center"/>
        <w:outlineLvl w:val="2"/>
        <w:rPr>
          <w:rFonts w:ascii="Times New Roman" w:eastAsia="楷体" w:hAnsi="Times New Roman" w:cs="楷体"/>
          <w:bCs/>
          <w:sz w:val="32"/>
          <w:szCs w:val="32"/>
        </w:rPr>
      </w:pPr>
      <w:bookmarkStart w:id="259" w:name="_Toc21755"/>
      <w:r>
        <w:rPr>
          <w:rFonts w:ascii="Times New Roman" w:eastAsia="楷体" w:hAnsi="Times New Roman" w:cs="楷体" w:hint="eastAsia"/>
          <w:bCs/>
          <w:sz w:val="32"/>
          <w:szCs w:val="32"/>
        </w:rPr>
        <w:t>第三节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推动水利基础设施建设</w:t>
      </w:r>
      <w:bookmarkEnd w:id="257"/>
      <w:bookmarkEnd w:id="258"/>
      <w:bookmarkEnd w:id="259"/>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585" w:lineRule="exact"/>
        <w:ind w:firstLineChars="200" w:firstLine="600"/>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5" w:lineRule="exact"/>
        <w:ind w:firstLineChars="200" w:firstLine="600"/>
        <w:rPr>
          <w:rFonts w:ascii="Times New Roman" w:eastAsia="仿宋" w:hAnsi="Times New Roman" w:cs="仿宋"/>
          <w:bCs/>
          <w:color w:val="000000"/>
          <w:sz w:val="30"/>
          <w:szCs w:val="30"/>
        </w:rPr>
      </w:pPr>
      <w:r>
        <w:rPr>
          <w:rFonts w:ascii="Times New Roman" w:eastAsia="仿宋" w:hAnsi="Times New Roman" w:cs="仿宋" w:hint="eastAsia"/>
          <w:bCs/>
          <w:sz w:val="30"/>
          <w:szCs w:val="30"/>
        </w:rPr>
        <w:t>提高水资源保障能力。通过拓展可利用水资源、控制新上高耗水项目、积极参与跨盟市水权转让，实施节水工程改造、盘活水资源存量等措施，解决水资源短缺问题。</w:t>
      </w:r>
      <w:r>
        <w:rPr>
          <w:rFonts w:ascii="Times New Roman" w:eastAsia="仿宋" w:hAnsi="Times New Roman" w:cs="仿宋" w:hint="eastAsia"/>
          <w:bCs/>
          <w:color w:val="000000"/>
          <w:sz w:val="30"/>
          <w:szCs w:val="30"/>
        </w:rPr>
        <w:t>在优先保障城乡居民用水的基础上，推动产业布局与水资源条件相匹配，加强水资源的优化配置与有效调控，提高水资源保障能力，推动农业用水向高效农业精细化供水转变，工业用水向园区集中化、分质化转变，生活用水向高标准转变。</w:t>
      </w:r>
    </w:p>
    <w:p w:rsidR="001328A6" w:rsidRDefault="007F3236">
      <w:pPr>
        <w:pBdr>
          <w:top w:val="none" w:sz="0" w:space="1" w:color="auto"/>
          <w:left w:val="none" w:sz="0" w:space="4" w:color="auto"/>
          <w:bottom w:val="none" w:sz="0" w:space="1" w:color="auto"/>
          <w:right w:val="none" w:sz="0" w:space="4" w:color="auto"/>
        </w:pBdr>
        <w:overflowPunct w:val="0"/>
        <w:spacing w:line="585" w:lineRule="exact"/>
        <w:ind w:firstLineChars="200" w:firstLine="600"/>
        <w:rPr>
          <w:rFonts w:ascii="Times New Roman" w:eastAsia="仿宋" w:hAnsi="Times New Roman" w:cs="仿宋"/>
          <w:bCs/>
          <w:color w:val="000000"/>
          <w:sz w:val="30"/>
          <w:szCs w:val="30"/>
        </w:rPr>
      </w:pPr>
      <w:r>
        <w:rPr>
          <w:rFonts w:ascii="Times New Roman" w:eastAsia="仿宋" w:hAnsi="Times New Roman" w:cs="仿宋" w:hint="eastAsia"/>
          <w:bCs/>
          <w:color w:val="000000" w:themeColor="text1"/>
          <w:sz w:val="30"/>
          <w:szCs w:val="30"/>
        </w:rPr>
        <w:t>加强农田水利基础设施建设。</w:t>
      </w:r>
      <w:r>
        <w:rPr>
          <w:rFonts w:ascii="Times New Roman" w:eastAsia="仿宋" w:hAnsi="Times New Roman" w:cs="仿宋" w:hint="eastAsia"/>
          <w:bCs/>
          <w:color w:val="000000"/>
          <w:sz w:val="30"/>
          <w:szCs w:val="30"/>
        </w:rPr>
        <w:t>围绕蓄水、保水、节水的目标，建设农业水利基础设施，完善现有灌区节水工程，提高水资源利用率。推进农业节水增效工程，进一步加强配套设施与节水改造工程建设，实施现有灌区节水灌溉工程，提高节水灌溉工程标准和农田灌溉水资源利用水平，增强水利设施对农业高质量发展的支撑作用。</w:t>
      </w:r>
    </w:p>
    <w:p w:rsidR="001328A6" w:rsidRDefault="007F3236">
      <w:pPr>
        <w:pBdr>
          <w:top w:val="none" w:sz="0" w:space="1" w:color="auto"/>
          <w:left w:val="none" w:sz="0" w:space="4" w:color="auto"/>
          <w:bottom w:val="none" w:sz="0" w:space="1" w:color="auto"/>
          <w:right w:val="none" w:sz="0" w:space="4" w:color="auto"/>
        </w:pBdr>
        <w:overflowPunct w:val="0"/>
        <w:spacing w:line="585"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color w:val="000000" w:themeColor="text1"/>
          <w:sz w:val="30"/>
          <w:szCs w:val="30"/>
        </w:rPr>
        <w:t>统筹推进黄河流域乌海段防灾减灾。</w:t>
      </w:r>
      <w:r>
        <w:rPr>
          <w:rFonts w:ascii="Times New Roman" w:eastAsia="仿宋" w:hAnsi="Times New Roman" w:cs="仿宋" w:hint="eastAsia"/>
          <w:bCs/>
          <w:sz w:val="30"/>
          <w:szCs w:val="30"/>
        </w:rPr>
        <w:t>充分发挥黄河海勃湾水利枢纽的调节控制作用，抓好黄河防凌防汛工作，巩固河湖“清四乱”专项行动成果，持续加强河湖管理保护。围绕乌海湖功能拓展，加</w:t>
      </w:r>
      <w:r>
        <w:rPr>
          <w:rFonts w:ascii="Times New Roman" w:eastAsia="仿宋" w:hAnsi="Times New Roman" w:cs="仿宋" w:hint="eastAsia"/>
          <w:bCs/>
          <w:sz w:val="30"/>
          <w:szCs w:val="30"/>
        </w:rPr>
        <w:lastRenderedPageBreak/>
        <w:t>快完善城市河湖水系，实施黄河岸线防护等工程。按照因地制宜、统筹谋划、综合施策的原则，加大乌海湖清淤力度和库区扬尘治理，守护河湖安澜。</w:t>
      </w:r>
    </w:p>
    <w:p w:rsidR="001328A6" w:rsidRDefault="001328A6">
      <w:pPr>
        <w:pBdr>
          <w:top w:val="none" w:sz="0" w:space="1" w:color="auto"/>
          <w:left w:val="none" w:sz="0" w:space="4" w:color="auto"/>
          <w:bottom w:val="none" w:sz="0" w:space="1" w:color="auto"/>
          <w:right w:val="none" w:sz="0" w:space="4" w:color="auto"/>
        </w:pBdr>
        <w:overflowPunct w:val="0"/>
        <w:spacing w:line="585" w:lineRule="exact"/>
        <w:jc w:val="center"/>
        <w:rPr>
          <w:rFonts w:ascii="Times New Roman" w:eastAsia="仿宋" w:hAnsi="Times New Roman" w:cs="仿宋"/>
          <w:bCs/>
          <w:sz w:val="30"/>
          <w:szCs w:val="30"/>
        </w:rPr>
      </w:pPr>
      <w:bookmarkStart w:id="260" w:name="_Toc5784"/>
      <w:bookmarkStart w:id="261" w:name="_Toc21825"/>
    </w:p>
    <w:p w:rsidR="001328A6" w:rsidRDefault="007F3236">
      <w:pPr>
        <w:pBdr>
          <w:top w:val="none" w:sz="0" w:space="1" w:color="auto"/>
          <w:left w:val="none" w:sz="0" w:space="4" w:color="auto"/>
          <w:bottom w:val="none" w:sz="0" w:space="1" w:color="auto"/>
          <w:right w:val="none" w:sz="0" w:space="4" w:color="auto"/>
        </w:pBdr>
        <w:overflowPunct w:val="0"/>
        <w:spacing w:line="585" w:lineRule="exact"/>
        <w:jc w:val="center"/>
        <w:outlineLvl w:val="2"/>
        <w:rPr>
          <w:rFonts w:ascii="Times New Roman" w:eastAsia="楷体" w:hAnsi="Times New Roman" w:cs="楷体"/>
          <w:bCs/>
          <w:sz w:val="32"/>
          <w:szCs w:val="32"/>
        </w:rPr>
      </w:pPr>
      <w:bookmarkStart w:id="262" w:name="_Toc18872"/>
      <w:r>
        <w:rPr>
          <w:rFonts w:ascii="Times New Roman" w:eastAsia="楷体" w:hAnsi="Times New Roman" w:cs="楷体" w:hint="eastAsia"/>
          <w:bCs/>
          <w:sz w:val="32"/>
          <w:szCs w:val="32"/>
        </w:rPr>
        <w:t>第四节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合理布局新型基础设施</w:t>
      </w:r>
      <w:bookmarkEnd w:id="260"/>
      <w:bookmarkEnd w:id="261"/>
      <w:bookmarkEnd w:id="262"/>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pacing w:val="6"/>
          <w:sz w:val="30"/>
          <w:szCs w:val="30"/>
        </w:rPr>
      </w:pPr>
      <w:r>
        <w:rPr>
          <w:rFonts w:ascii="Times New Roman" w:eastAsia="仿宋" w:hAnsi="Times New Roman" w:cs="仿宋" w:hint="eastAsia"/>
          <w:bCs/>
          <w:color w:val="000000" w:themeColor="text1"/>
          <w:sz w:val="30"/>
          <w:szCs w:val="30"/>
        </w:rPr>
        <w:t>加强信息基础设施建设，围绕智慧城市、智慧园区建设和新技术</w:t>
      </w:r>
      <w:r>
        <w:rPr>
          <w:rFonts w:ascii="Times New Roman" w:eastAsia="仿宋" w:hAnsi="Times New Roman" w:cs="仿宋" w:hint="eastAsia"/>
          <w:bCs/>
          <w:color w:val="000000" w:themeColor="text1"/>
          <w:spacing w:val="6"/>
          <w:sz w:val="30"/>
          <w:szCs w:val="30"/>
        </w:rPr>
        <w:t>新业态发展需要，加快</w:t>
      </w:r>
      <w:r>
        <w:rPr>
          <w:rFonts w:ascii="Times New Roman" w:eastAsia="仿宋" w:hAnsi="Times New Roman" w:cs="仿宋" w:hint="eastAsia"/>
          <w:bCs/>
          <w:color w:val="000000" w:themeColor="text1"/>
          <w:spacing w:val="6"/>
          <w:sz w:val="30"/>
          <w:szCs w:val="30"/>
        </w:rPr>
        <w:t>5G</w:t>
      </w:r>
      <w:r>
        <w:rPr>
          <w:rFonts w:ascii="Times New Roman" w:eastAsia="仿宋" w:hAnsi="Times New Roman" w:cs="仿宋" w:hint="eastAsia"/>
          <w:bCs/>
          <w:color w:val="000000" w:themeColor="text1"/>
          <w:spacing w:val="6"/>
          <w:sz w:val="30"/>
          <w:szCs w:val="30"/>
        </w:rPr>
        <w:t>网络基站建设进度，布局卫星服务基站，推动提速降费，提升与主要城市的数据传输能力，升级农村宽带网络和移动网络信号，力争建成高速、泛在、低费、安全的信息网络，为人工智能、大数据、物联网等新兴产业发展提供支撑。在交通等重点领域加快推进泛在感知设施的建设和应用。</w:t>
      </w:r>
    </w:p>
    <w:p w:rsidR="001328A6" w:rsidRDefault="001328A6">
      <w:pPr>
        <w:pStyle w:val="a0"/>
        <w:spacing w:before="0" w:after="0" w:line="240" w:lineRule="exact"/>
        <w:rPr>
          <w:rFonts w:ascii="Times New Roman" w:hAnsi="Times New Roman"/>
        </w:rPr>
      </w:pPr>
    </w:p>
    <w:tbl>
      <w:tblPr>
        <w:tblStyle w:val="ae"/>
        <w:tblW w:w="8414" w:type="dxa"/>
        <w:jc w:val="center"/>
        <w:tblLayout w:type="fixed"/>
        <w:tblLook w:val="04A0"/>
      </w:tblPr>
      <w:tblGrid>
        <w:gridCol w:w="8414"/>
      </w:tblGrid>
      <w:tr w:rsidR="001328A6">
        <w:trPr>
          <w:trHeight w:val="553"/>
          <w:jc w:val="center"/>
        </w:trPr>
        <w:tc>
          <w:tcPr>
            <w:tcW w:w="8414" w:type="dxa"/>
          </w:tcPr>
          <w:p w:rsidR="001328A6" w:rsidRDefault="007F3236">
            <w:pPr>
              <w:pBdr>
                <w:top w:val="none" w:sz="0" w:space="1" w:color="auto"/>
                <w:left w:val="none" w:sz="0" w:space="4" w:color="auto"/>
                <w:bottom w:val="none" w:sz="0" w:space="1" w:color="auto"/>
                <w:right w:val="none" w:sz="0" w:space="4" w:color="auto"/>
              </w:pBdr>
              <w:overflowPunct w:val="0"/>
              <w:spacing w:line="480" w:lineRule="exact"/>
              <w:jc w:val="center"/>
              <w:rPr>
                <w:rFonts w:ascii="Times New Roman" w:eastAsia="宋体" w:hAnsi="Times New Roman" w:cs="Times New Roman"/>
                <w:bCs/>
                <w:color w:val="000000" w:themeColor="text1"/>
                <w:sz w:val="24"/>
                <w:szCs w:val="24"/>
              </w:rPr>
            </w:pPr>
            <w:r>
              <w:rPr>
                <w:rFonts w:ascii="Times New Roman" w:hAnsi="Times New Roman" w:cstheme="minorEastAsia" w:hint="eastAsia"/>
                <w:b/>
                <w:color w:val="000000" w:themeColor="text1"/>
                <w:sz w:val="24"/>
                <w:szCs w:val="24"/>
              </w:rPr>
              <w:t>专栏</w:t>
            </w:r>
            <w:r>
              <w:rPr>
                <w:rFonts w:ascii="Times New Roman" w:hAnsi="Times New Roman" w:cstheme="minorEastAsia" w:hint="eastAsia"/>
                <w:b/>
                <w:color w:val="000000" w:themeColor="text1"/>
                <w:sz w:val="24"/>
                <w:szCs w:val="24"/>
              </w:rPr>
              <w:t xml:space="preserve">11  </w:t>
            </w:r>
            <w:r>
              <w:rPr>
                <w:rFonts w:ascii="Times New Roman" w:hAnsi="Times New Roman" w:cstheme="minorEastAsia" w:hint="eastAsia"/>
                <w:b/>
                <w:color w:val="000000" w:themeColor="text1"/>
                <w:sz w:val="24"/>
                <w:szCs w:val="24"/>
              </w:rPr>
              <w:t>新型基础设施配套完善工程</w:t>
            </w:r>
          </w:p>
        </w:tc>
      </w:tr>
      <w:tr w:rsidR="001328A6">
        <w:trPr>
          <w:jc w:val="center"/>
        </w:trPr>
        <w:tc>
          <w:tcPr>
            <w:tcW w:w="8414" w:type="dxa"/>
          </w:tcPr>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eastAsia="仿宋_GB2312" w:hAnsi="Times New Roman" w:cs="Times New Roman"/>
                <w:bCs/>
                <w:color w:val="000000" w:themeColor="text1"/>
                <w:sz w:val="24"/>
                <w:szCs w:val="24"/>
              </w:rPr>
            </w:pPr>
            <w:r>
              <w:rPr>
                <w:rFonts w:ascii="Times New Roman" w:eastAsia="宋体" w:hAnsi="Times New Roman" w:cs="Times New Roman"/>
                <w:bCs/>
                <w:color w:val="000000" w:themeColor="text1"/>
                <w:sz w:val="24"/>
                <w:szCs w:val="24"/>
              </w:rPr>
              <w:t>加快实施新型工业互联网平台、</w:t>
            </w:r>
            <w:r>
              <w:rPr>
                <w:rFonts w:ascii="Times New Roman" w:eastAsia="宋体" w:hAnsi="Times New Roman" w:cs="Times New Roman"/>
                <w:bCs/>
                <w:color w:val="000000" w:themeColor="text1"/>
                <w:sz w:val="24"/>
                <w:szCs w:val="24"/>
              </w:rPr>
              <w:t>5G</w:t>
            </w:r>
            <w:r>
              <w:rPr>
                <w:rFonts w:ascii="Times New Roman" w:eastAsia="宋体" w:hAnsi="Times New Roman" w:cs="Times New Roman"/>
                <w:bCs/>
                <w:color w:val="000000" w:themeColor="text1"/>
                <w:sz w:val="24"/>
                <w:szCs w:val="24"/>
              </w:rPr>
              <w:t>网络基站等项目，推动智慧园区、智慧工厂、智慧城市等建设。</w:t>
            </w:r>
          </w:p>
        </w:tc>
      </w:tr>
    </w:tbl>
    <w:p w:rsidR="001328A6" w:rsidRDefault="007F3236">
      <w:pPr>
        <w:rPr>
          <w:rFonts w:ascii="Times New Roman" w:eastAsia="宋体" w:hAnsi="Times New Roman" w:cs="Times New Roman"/>
          <w:bCs/>
          <w:sz w:val="32"/>
          <w:szCs w:val="32"/>
        </w:rPr>
      </w:pPr>
      <w:bookmarkStart w:id="263" w:name="_Toc30238"/>
      <w:r>
        <w:rPr>
          <w:rFonts w:ascii="Times New Roman" w:eastAsia="宋体" w:hAnsi="Times New Roman" w:cs="Times New Roman"/>
          <w:bCs/>
          <w:sz w:val="32"/>
          <w:szCs w:val="32"/>
        </w:rPr>
        <w:br w:type="page"/>
      </w: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1"/>
        <w:rPr>
          <w:rFonts w:ascii="Times New Roman" w:eastAsia="黑体" w:hAnsi="Times New Roman" w:cs="黑体"/>
          <w:bCs/>
          <w:sz w:val="32"/>
          <w:szCs w:val="32"/>
        </w:rPr>
      </w:pPr>
      <w:bookmarkStart w:id="264" w:name="_Toc20555"/>
      <w:bookmarkStart w:id="265" w:name="_Toc8602"/>
      <w:r>
        <w:rPr>
          <w:rFonts w:ascii="Times New Roman" w:eastAsia="黑体" w:hAnsi="Times New Roman" w:cs="黑体" w:hint="eastAsia"/>
          <w:bCs/>
          <w:sz w:val="32"/>
          <w:szCs w:val="32"/>
        </w:rPr>
        <w:lastRenderedPageBreak/>
        <w:t>第十九章统筹发展和安全建设更高水平的平安乌海</w:t>
      </w:r>
      <w:bookmarkEnd w:id="263"/>
      <w:bookmarkEnd w:id="264"/>
      <w:bookmarkEnd w:id="265"/>
    </w:p>
    <w:p w:rsidR="001328A6" w:rsidRDefault="001328A6">
      <w:pPr>
        <w:pStyle w:val="a0"/>
        <w:overflowPunct w:val="0"/>
        <w:spacing w:before="0" w:after="0" w:line="580" w:lineRule="exact"/>
        <w:outlineLvl w:val="9"/>
        <w:rPr>
          <w:rFonts w:ascii="Times New Roman" w:eastAsia="仿宋" w:hAnsi="Times New Roman" w:cs="仿宋"/>
          <w:b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sz w:val="30"/>
          <w:szCs w:val="30"/>
        </w:rPr>
        <w:t>深入贯彻总体国家安全观，</w:t>
      </w:r>
      <w:r>
        <w:rPr>
          <w:rFonts w:ascii="Times New Roman" w:eastAsia="仿宋" w:hAnsi="Times New Roman" w:cs="仿宋" w:hint="eastAsia"/>
          <w:bCs/>
          <w:color w:val="000000" w:themeColor="text1"/>
          <w:sz w:val="30"/>
          <w:szCs w:val="30"/>
        </w:rPr>
        <w:t>把安全发展贯穿发展各领域和全过程，全面提高公共安全保障能力，健全公共安全隐患排查和安全预防控制体系，完善风险防控机制，统筹推进安全生产、食药监管、应急保障、社会治安等工作，确保人民安居乐业，社会和谐稳定。</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266" w:name="_Toc7405"/>
    </w:p>
    <w:p w:rsidR="001328A6" w:rsidRDefault="007F3236">
      <w:pPr>
        <w:pBdr>
          <w:top w:val="none" w:sz="0" w:space="1" w:color="auto"/>
          <w:left w:val="none" w:sz="0" w:space="4" w:color="auto"/>
          <w:bottom w:val="none" w:sz="0" w:space="1" w:color="auto"/>
          <w:right w:val="none" w:sz="0" w:space="4" w:color="auto"/>
        </w:pBdr>
        <w:overflowPunct w:val="0"/>
        <w:spacing w:line="585" w:lineRule="exact"/>
        <w:jc w:val="center"/>
        <w:outlineLvl w:val="2"/>
        <w:rPr>
          <w:rFonts w:ascii="Times New Roman" w:eastAsia="楷体" w:hAnsi="Times New Roman" w:cs="楷体"/>
          <w:bCs/>
          <w:sz w:val="32"/>
          <w:szCs w:val="32"/>
        </w:rPr>
      </w:pPr>
      <w:bookmarkStart w:id="267" w:name="_Toc15124"/>
      <w:r>
        <w:rPr>
          <w:rFonts w:ascii="Times New Roman" w:eastAsia="楷体" w:hAnsi="Times New Roman" w:cs="楷体" w:hint="eastAsia"/>
          <w:bCs/>
          <w:sz w:val="32"/>
          <w:szCs w:val="32"/>
        </w:rPr>
        <w:t>第一节捍卫政治安全</w:t>
      </w:r>
      <w:bookmarkEnd w:id="266"/>
      <w:bookmarkEnd w:id="267"/>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坚定维护国家政权安全、制度安全、意识形态安全，全面加强网络安全保障体系和能力建设，建立“大情报”平台，严密防范和严厉打击敌对势力渗透破坏颠覆分裂活动。推进国家安全体系和能力现代化，完善国家安全组织体系和工作机制，健全国家安全审查和监管制度，加强国家安全执法，提高风险监测预警防范和危机管控能力。加强国家安全宣传教育，增强全民国家安全意识。落实和完善国防动员体系，强化全民国防教育，深化双拥共建，巩固军政军民团结。</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268" w:name="_Toc2058"/>
    </w:p>
    <w:p w:rsidR="001328A6" w:rsidRDefault="007F3236">
      <w:pPr>
        <w:pBdr>
          <w:top w:val="none" w:sz="0" w:space="1" w:color="auto"/>
          <w:left w:val="none" w:sz="0" w:space="4" w:color="auto"/>
          <w:bottom w:val="none" w:sz="0" w:space="1" w:color="auto"/>
          <w:right w:val="none" w:sz="0" w:space="4" w:color="auto"/>
        </w:pBdr>
        <w:overflowPunct w:val="0"/>
        <w:spacing w:line="585" w:lineRule="exact"/>
        <w:jc w:val="center"/>
        <w:outlineLvl w:val="2"/>
        <w:rPr>
          <w:rFonts w:ascii="Times New Roman" w:eastAsia="楷体" w:hAnsi="Times New Roman" w:cs="楷体"/>
          <w:bCs/>
          <w:sz w:val="32"/>
          <w:szCs w:val="32"/>
        </w:rPr>
      </w:pPr>
      <w:bookmarkStart w:id="269" w:name="_Toc242"/>
      <w:r>
        <w:rPr>
          <w:rFonts w:ascii="Times New Roman" w:eastAsia="楷体" w:hAnsi="Times New Roman" w:cs="楷体" w:hint="eastAsia"/>
          <w:bCs/>
          <w:sz w:val="32"/>
          <w:szCs w:val="32"/>
        </w:rPr>
        <w:t>第二节实现关键领域安全可控</w:t>
      </w:r>
      <w:bookmarkEnd w:id="268"/>
      <w:bookmarkEnd w:id="269"/>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确保经济安全，加强经济运行调度分析，建立完善重大风险防控体制机制，实现关键领域安全可控。保障能源和战略性矿产资源</w:t>
      </w:r>
      <w:r>
        <w:rPr>
          <w:rFonts w:ascii="Times New Roman" w:eastAsia="仿宋" w:hAnsi="Times New Roman" w:cs="仿宋" w:hint="eastAsia"/>
          <w:bCs/>
          <w:color w:val="000000" w:themeColor="text1"/>
          <w:sz w:val="30"/>
          <w:szCs w:val="30"/>
        </w:rPr>
        <w:lastRenderedPageBreak/>
        <w:t>安全，加快煤矿整合重组，提升煤炭就地加工转化率，推进煤矿与新能源有效衔接。全方位提升粮食采购、物资储备、应急保障能力，落实粮食安全市长责任制，做好储备粮轮换工作。维护重要基础设施安全。构建生态环境风险防范体系。</w:t>
      </w:r>
    </w:p>
    <w:p w:rsidR="001328A6" w:rsidRDefault="001328A6">
      <w:pPr>
        <w:pBdr>
          <w:top w:val="none" w:sz="0" w:space="1" w:color="auto"/>
          <w:left w:val="none" w:sz="0" w:space="4" w:color="auto"/>
          <w:bottom w:val="none" w:sz="0" w:space="1" w:color="auto"/>
          <w:right w:val="none" w:sz="0" w:space="4" w:color="auto"/>
        </w:pBdr>
        <w:overflowPunct w:val="0"/>
        <w:spacing w:line="558" w:lineRule="exact"/>
        <w:jc w:val="center"/>
        <w:rPr>
          <w:rFonts w:ascii="Times New Roman" w:eastAsia="仿宋" w:hAnsi="Times New Roman" w:cs="仿宋"/>
          <w:bCs/>
          <w:sz w:val="30"/>
          <w:szCs w:val="30"/>
        </w:rPr>
      </w:pPr>
      <w:bookmarkStart w:id="270" w:name="_Toc1319"/>
      <w:bookmarkStart w:id="271" w:name="_Toc22810"/>
    </w:p>
    <w:p w:rsidR="001328A6" w:rsidRDefault="007F3236">
      <w:pPr>
        <w:pBdr>
          <w:top w:val="none" w:sz="0" w:space="1" w:color="auto"/>
          <w:left w:val="none" w:sz="0" w:space="4" w:color="auto"/>
          <w:bottom w:val="none" w:sz="0" w:space="1" w:color="auto"/>
          <w:right w:val="none" w:sz="0" w:space="4" w:color="auto"/>
        </w:pBdr>
        <w:overflowPunct w:val="0"/>
        <w:spacing w:line="585" w:lineRule="exact"/>
        <w:jc w:val="center"/>
        <w:outlineLvl w:val="2"/>
        <w:rPr>
          <w:rFonts w:ascii="Times New Roman" w:eastAsia="楷体" w:hAnsi="Times New Roman" w:cs="楷体"/>
          <w:bCs/>
          <w:sz w:val="32"/>
          <w:szCs w:val="32"/>
        </w:rPr>
      </w:pPr>
      <w:bookmarkStart w:id="272" w:name="_Toc22376"/>
      <w:r>
        <w:rPr>
          <w:rFonts w:ascii="Times New Roman" w:eastAsia="楷体" w:hAnsi="Times New Roman" w:cs="楷体" w:hint="eastAsia"/>
          <w:bCs/>
          <w:sz w:val="32"/>
          <w:szCs w:val="32"/>
        </w:rPr>
        <w:t>第三节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全面加强安全生产管理</w:t>
      </w:r>
      <w:bookmarkEnd w:id="270"/>
      <w:bookmarkEnd w:id="271"/>
      <w:bookmarkEnd w:id="272"/>
    </w:p>
    <w:p w:rsidR="001328A6" w:rsidRDefault="001328A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完善和落实安全生产责任和管理制度，实现安全生产责任“全覆盖”、监管“无盲区”。持续深化以风险研判为前提、隐患排查为核心、动态达标为关键、教育培训为基础的安全生产治理体系。实施科技兴安工程，加强安全生产信息化建设，在重点行业、重点环节实施“科技化换人、自动化减人”。完成安全生产专项整治三年行动任务目标，组织开展全行业安全“体检”工作，进一步提升各行业安全生产水平，常态化开展安全生产专项治理，推动重点行业领域全员式风险研判辨识和隐患排查整治，努力建设安全城市。</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273" w:name="_Toc1340"/>
      <w:bookmarkStart w:id="274" w:name="_Toc24161"/>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275" w:name="_Toc32521"/>
      <w:r>
        <w:rPr>
          <w:rFonts w:ascii="Times New Roman" w:eastAsia="楷体" w:hAnsi="Times New Roman" w:cs="楷体" w:hint="eastAsia"/>
          <w:bCs/>
          <w:sz w:val="32"/>
          <w:szCs w:val="32"/>
        </w:rPr>
        <w:t>第四节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保障食品药品安全</w:t>
      </w:r>
      <w:bookmarkEnd w:id="273"/>
      <w:bookmarkEnd w:id="274"/>
      <w:bookmarkEnd w:id="275"/>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建立健全食品药品安全责任体系，严格落实企业主体责任、政府属地责任、部门监管责任。加大食品药品安全监管力度，强化食品药品安全源头治理和全程监管，建立并完善监管长效机制。推进标准化装备配备和基础设施建设，探索智慧监管、信用监管新模式。</w:t>
      </w:r>
      <w:r>
        <w:rPr>
          <w:rFonts w:ascii="Times New Roman" w:eastAsia="仿宋" w:hAnsi="Times New Roman" w:cs="仿宋" w:hint="eastAsia"/>
          <w:bCs/>
          <w:color w:val="000000" w:themeColor="text1"/>
          <w:sz w:val="30"/>
          <w:szCs w:val="30"/>
        </w:rPr>
        <w:lastRenderedPageBreak/>
        <w:t>大力推动专业化食品药品监管人才培养引进。加强食品药品安全抽样检验检测能力建设，提升技术保障能力，逐步扩大食品药品检测种类、完善检测结果运用，提升安全监管水平。严厉打击食品药品违法犯罪行为，加强对失信企业的联合惩戒，畅通投诉举报渠道，完善群众举报奖励机制，加大舆论宣传力度，构建群防群控的社会共治体系。</w:t>
      </w:r>
    </w:p>
    <w:p w:rsidR="001328A6" w:rsidRDefault="001328A6">
      <w:pPr>
        <w:pBdr>
          <w:top w:val="none" w:sz="0" w:space="1" w:color="auto"/>
          <w:left w:val="none" w:sz="0" w:space="4" w:color="auto"/>
          <w:bottom w:val="none" w:sz="0" w:space="1" w:color="auto"/>
          <w:right w:val="none" w:sz="0" w:space="4" w:color="auto"/>
        </w:pBdr>
        <w:overflowPunct w:val="0"/>
        <w:spacing w:line="558" w:lineRule="exact"/>
        <w:jc w:val="center"/>
        <w:rPr>
          <w:rFonts w:ascii="Times New Roman" w:eastAsia="仿宋" w:hAnsi="Times New Roman" w:cs="仿宋"/>
          <w:bCs/>
          <w:sz w:val="30"/>
          <w:szCs w:val="30"/>
        </w:rPr>
      </w:pPr>
      <w:bookmarkStart w:id="276" w:name="_Toc5655"/>
      <w:bookmarkStart w:id="277" w:name="_Toc30431"/>
    </w:p>
    <w:p w:rsidR="001328A6" w:rsidRDefault="007F3236">
      <w:pPr>
        <w:pBdr>
          <w:top w:val="none" w:sz="0" w:space="1" w:color="auto"/>
          <w:left w:val="none" w:sz="0" w:space="4" w:color="auto"/>
          <w:bottom w:val="none" w:sz="0" w:space="1" w:color="auto"/>
          <w:right w:val="none" w:sz="0" w:space="4" w:color="auto"/>
        </w:pBdr>
        <w:overflowPunct w:val="0"/>
        <w:spacing w:line="585" w:lineRule="exact"/>
        <w:jc w:val="center"/>
        <w:outlineLvl w:val="2"/>
        <w:rPr>
          <w:rFonts w:ascii="Times New Roman" w:eastAsia="楷体" w:hAnsi="Times New Roman" w:cs="楷体"/>
          <w:bCs/>
          <w:sz w:val="32"/>
          <w:szCs w:val="32"/>
        </w:rPr>
      </w:pPr>
      <w:bookmarkStart w:id="278" w:name="_Toc32381"/>
      <w:r>
        <w:rPr>
          <w:rFonts w:ascii="Times New Roman" w:eastAsia="楷体" w:hAnsi="Times New Roman" w:cs="楷体" w:hint="eastAsia"/>
          <w:bCs/>
          <w:sz w:val="32"/>
          <w:szCs w:val="32"/>
        </w:rPr>
        <w:t>第五节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增强防灾减灾能力</w:t>
      </w:r>
      <w:bookmarkEnd w:id="276"/>
      <w:bookmarkEnd w:id="277"/>
      <w:bookmarkEnd w:id="278"/>
    </w:p>
    <w:p w:rsidR="001328A6" w:rsidRDefault="001328A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严密做好旱灾、雪灾、洪涝、地震、森林草原火灾、病虫鼠害等各类灾害防治工作，完成第一次全国自然灾害综合风险普查，建设乌海市甘德尔地震台，完善防灾减灾救灾体制机制，全面提升防灾减灾能力。构建智能化气象观测体系，推动新一代天气雷达建设，发展生态修复型人工影响天气业务，形成智能精准、面向多领域的现代气象保障服务体系。</w:t>
      </w:r>
      <w:r>
        <w:rPr>
          <w:rFonts w:ascii="Times New Roman" w:eastAsia="仿宋" w:hAnsi="Times New Roman" w:cs="仿宋" w:hint="eastAsia"/>
          <w:bCs/>
          <w:sz w:val="30"/>
          <w:szCs w:val="30"/>
        </w:rPr>
        <w:t>加强暴雨、雾霾、沙尘、高温等天气精细化监测预报预警能力建设，增强预报预警服务能力。把风险管控理念引入</w:t>
      </w:r>
      <w:r>
        <w:rPr>
          <w:rFonts w:ascii="Times New Roman" w:eastAsia="仿宋" w:hAnsi="Times New Roman" w:cs="仿宋" w:hint="eastAsia"/>
          <w:bCs/>
          <w:color w:val="000000" w:themeColor="text1"/>
          <w:sz w:val="30"/>
          <w:szCs w:val="30"/>
        </w:rPr>
        <w:t>防灾减灾工作，做到“事前”有监测、有预案，“事中”有预警、有响应，“事后”有组织、有保障，确保防灾减灾工作落到实处。实施自然灾害防治重点工程建设，实现从注重灾后救助向注重灾前预防转变、从应对单一灾种向综合减灾转变、从减少灾害损失向减轻灾害风险转变。</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279" w:name="_Toc8195"/>
      <w:bookmarkStart w:id="280" w:name="_Toc17799"/>
    </w:p>
    <w:p w:rsidR="001328A6" w:rsidRDefault="007F3236">
      <w:pPr>
        <w:pBdr>
          <w:top w:val="none" w:sz="0" w:space="1" w:color="auto"/>
          <w:left w:val="none" w:sz="0" w:space="4" w:color="auto"/>
          <w:bottom w:val="none" w:sz="0" w:space="1" w:color="auto"/>
          <w:right w:val="none" w:sz="0" w:space="4" w:color="auto"/>
        </w:pBdr>
        <w:overflowPunct w:val="0"/>
        <w:spacing w:line="585" w:lineRule="exact"/>
        <w:jc w:val="center"/>
        <w:outlineLvl w:val="2"/>
        <w:rPr>
          <w:rFonts w:ascii="Times New Roman" w:eastAsia="楷体" w:hAnsi="Times New Roman" w:cs="楷体"/>
          <w:bCs/>
          <w:sz w:val="32"/>
          <w:szCs w:val="32"/>
        </w:rPr>
      </w:pPr>
      <w:bookmarkStart w:id="281" w:name="_Toc28717"/>
      <w:r>
        <w:rPr>
          <w:rFonts w:ascii="Times New Roman" w:eastAsia="楷体" w:hAnsi="Times New Roman" w:cs="楷体" w:hint="eastAsia"/>
          <w:bCs/>
          <w:sz w:val="32"/>
          <w:szCs w:val="32"/>
        </w:rPr>
        <w:lastRenderedPageBreak/>
        <w:t>第六节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健全应急保障体系</w:t>
      </w:r>
      <w:bookmarkEnd w:id="279"/>
      <w:bookmarkEnd w:id="280"/>
      <w:bookmarkEnd w:id="281"/>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color w:val="000000" w:themeColor="text1"/>
          <w:sz w:val="30"/>
          <w:szCs w:val="30"/>
        </w:rPr>
        <w:t>加强应急救援能力建设。坚持少而精的原则，以适应乌海及周边地区产业发展实际需求为目标，全力打造具有专业处置能力的应急救援队伍和专家团队，探索建立专业队伍、志愿者队伍共训共练、救援合作的应急救援机制，持续开展针对性应急演练，推进“情景构建”应急演练新模式，确保应急处置工作有序开展。建设自治区西部现代化综合应急救援基地暨乌海市现代化综合应急救援基地等区域综合性应急救援基地，组建低碳产业园综合救援大队，增强应急救援物资储备，完善应急管理设施设备和应急管理技术的标准化建设，提高突发事件响应和处置能力。加强公共消防基础设施建设，加强消防队伍和各类保障设施建设，发展多元消防救援力量，构建“社会化、法治化、标准化、智慧化”的火灾防控体系。</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color w:val="000000" w:themeColor="text1"/>
          <w:sz w:val="30"/>
          <w:szCs w:val="30"/>
        </w:rPr>
        <w:t>推动安全宣传全覆盖。开展常态化应急疏散演练，引导社区居民开展风险隐患排查和治理，积极推进安全风险网格化管理。完善各级各部门应急指挥网络建设，健全公共安全预测预警和应急协调联动机制，推进应急管理体系和能力现代化。</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282" w:name="_Toc28513"/>
      <w:bookmarkStart w:id="283" w:name="_Toc27629"/>
    </w:p>
    <w:p w:rsidR="001328A6" w:rsidRDefault="007F3236">
      <w:pPr>
        <w:pBdr>
          <w:top w:val="none" w:sz="0" w:space="1" w:color="auto"/>
          <w:left w:val="none" w:sz="0" w:space="4" w:color="auto"/>
          <w:bottom w:val="none" w:sz="0" w:space="1" w:color="auto"/>
          <w:right w:val="none" w:sz="0" w:space="4" w:color="auto"/>
        </w:pBdr>
        <w:overflowPunct w:val="0"/>
        <w:spacing w:line="585" w:lineRule="exact"/>
        <w:jc w:val="center"/>
        <w:outlineLvl w:val="2"/>
        <w:rPr>
          <w:rFonts w:ascii="Times New Roman" w:eastAsia="楷体" w:hAnsi="Times New Roman" w:cs="楷体"/>
          <w:bCs/>
          <w:sz w:val="32"/>
          <w:szCs w:val="32"/>
        </w:rPr>
      </w:pPr>
      <w:bookmarkStart w:id="284" w:name="_Toc16324"/>
      <w:r>
        <w:rPr>
          <w:rFonts w:ascii="Times New Roman" w:eastAsia="楷体" w:hAnsi="Times New Roman" w:cs="楷体" w:hint="eastAsia"/>
          <w:bCs/>
          <w:sz w:val="32"/>
          <w:szCs w:val="32"/>
        </w:rPr>
        <w:t>第七节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维护社会安全稳定</w:t>
      </w:r>
      <w:bookmarkEnd w:id="282"/>
      <w:bookmarkEnd w:id="283"/>
      <w:bookmarkEnd w:id="284"/>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z w:val="30"/>
          <w:szCs w:val="30"/>
        </w:rPr>
        <w:t>防范化解社会风险。完善社会矛盾排查化解机制，全力提高防范化解重大风险防控能力。坚持和发扬新时代“枫桥经验”，健全</w:t>
      </w:r>
      <w:r>
        <w:rPr>
          <w:rFonts w:ascii="Times New Roman" w:eastAsia="仿宋" w:hAnsi="Times New Roman" w:cs="仿宋" w:hint="eastAsia"/>
          <w:bCs/>
          <w:sz w:val="30"/>
          <w:szCs w:val="30"/>
        </w:rPr>
        <w:lastRenderedPageBreak/>
        <w:t>社会矛盾纠纷多元化解机制。完善“三调联动”机制，推动行政调解、人民调解与司法调解有效衔接，不断提高调解效率，努力把矛盾纠纷化解在基层和萌芽状态。</w:t>
      </w:r>
      <w:r>
        <w:rPr>
          <w:rFonts w:ascii="Times New Roman" w:eastAsia="仿宋" w:hAnsi="Times New Roman" w:cs="仿宋" w:hint="eastAsia"/>
          <w:bCs/>
          <w:color w:val="000000" w:themeColor="text1"/>
          <w:sz w:val="30"/>
          <w:szCs w:val="30"/>
        </w:rPr>
        <w:t>畅通和规范群众诉求表达、</w:t>
      </w:r>
      <w:r>
        <w:rPr>
          <w:rFonts w:ascii="Times New Roman" w:eastAsia="仿宋" w:hAnsi="Times New Roman" w:cs="仿宋" w:hint="eastAsia"/>
          <w:bCs/>
          <w:sz w:val="30"/>
          <w:szCs w:val="30"/>
        </w:rPr>
        <w:t>利益协调、权益保障通道，及时回应群众关切。完善信访制度，集中推进重大信访积案清零和重点领域矛盾纠纷清源，依法依规解决好人民群众的合理诉求。完善重大决策社会稳定风险评估机制、社会矛盾排查预警机制，实施重大不稳定问题清单制度，坚持去存量、控增量、防变量，打好防范化解社会矛盾风险主动仗。牢固树立安全发展理念，进一步健全公共安全隐患常态化排查整治机制、突发事件应急处置机制，切实抓好重点行业和领域安全防护，确保人民群众安居乐业、社会稳定有序。</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color w:val="000000" w:themeColor="text1"/>
          <w:sz w:val="30"/>
          <w:szCs w:val="30"/>
        </w:rPr>
        <w:t>加强社会治安防控体系建设。</w:t>
      </w:r>
      <w:r>
        <w:rPr>
          <w:rFonts w:ascii="Times New Roman" w:eastAsia="仿宋" w:hAnsi="Times New Roman" w:cs="仿宋" w:hint="eastAsia"/>
          <w:bCs/>
          <w:spacing w:val="-8"/>
          <w:sz w:val="30"/>
          <w:szCs w:val="30"/>
        </w:rPr>
        <w:t>坚持“打、防、管、控、建”并举，加快推进立体化、智能化社会治安防控体系建设，建立完善扫黑除恶常态化机制。</w:t>
      </w:r>
      <w:r>
        <w:rPr>
          <w:rFonts w:ascii="Times New Roman" w:eastAsia="仿宋" w:hAnsi="Times New Roman" w:cs="仿宋" w:hint="eastAsia"/>
          <w:bCs/>
          <w:sz w:val="30"/>
          <w:szCs w:val="30"/>
        </w:rPr>
        <w:t>加强社会面治安防控网建设，强化重点地区排查整治，建立经常性突出社会治安问题专项打击整治机制，有效净化社会治安环境。创新基层治理模式，坚持专群结合、群防群治。健全社会心理服务体系和疏导机制、危机干预机制，</w:t>
      </w:r>
      <w:r>
        <w:rPr>
          <w:rFonts w:ascii="Times New Roman" w:eastAsia="仿宋" w:hAnsi="Times New Roman" w:cs="仿宋" w:hint="eastAsia"/>
          <w:bCs/>
          <w:color w:val="000000" w:themeColor="text1"/>
          <w:sz w:val="30"/>
          <w:szCs w:val="30"/>
        </w:rPr>
        <w:t>加强对流动人口、</w:t>
      </w:r>
      <w:r>
        <w:rPr>
          <w:rFonts w:ascii="Times New Roman" w:eastAsia="仿宋" w:hAnsi="Times New Roman" w:cs="仿宋" w:hint="eastAsia"/>
          <w:bCs/>
          <w:sz w:val="30"/>
          <w:szCs w:val="30"/>
        </w:rPr>
        <w:t>刑满释放人员、</w:t>
      </w:r>
      <w:r>
        <w:rPr>
          <w:rFonts w:ascii="Times New Roman" w:eastAsia="仿宋" w:hAnsi="Times New Roman" w:cs="仿宋" w:hint="eastAsia"/>
          <w:bCs/>
          <w:color w:val="000000" w:themeColor="text1"/>
          <w:sz w:val="30"/>
          <w:szCs w:val="30"/>
        </w:rPr>
        <w:t>社区矫正对象等特殊人群的服务管理，</w:t>
      </w:r>
      <w:r>
        <w:rPr>
          <w:rFonts w:ascii="Times New Roman" w:eastAsia="仿宋" w:hAnsi="Times New Roman" w:cs="仿宋" w:hint="eastAsia"/>
          <w:bCs/>
          <w:sz w:val="30"/>
          <w:szCs w:val="30"/>
        </w:rPr>
        <w:t>深化预防青少年违法犯罪工作。推动治安防控体系下移，</w:t>
      </w:r>
      <w:r>
        <w:rPr>
          <w:rFonts w:ascii="Times New Roman" w:eastAsia="仿宋" w:hAnsi="Times New Roman" w:cs="仿宋" w:hint="eastAsia"/>
          <w:bCs/>
          <w:color w:val="000000" w:themeColor="text1"/>
          <w:sz w:val="30"/>
          <w:szCs w:val="30"/>
        </w:rPr>
        <w:t>大力推动公安警力下沉、重心下移、保障下倾，充实做强社会治安防控体系的基层实战力量，</w:t>
      </w:r>
      <w:r>
        <w:rPr>
          <w:rFonts w:ascii="Times New Roman" w:eastAsia="仿宋" w:hAnsi="Times New Roman" w:cs="仿宋" w:hint="eastAsia"/>
          <w:bCs/>
          <w:sz w:val="30"/>
          <w:szCs w:val="30"/>
        </w:rPr>
        <w:t>有效提升基础防范和源头管控水平</w:t>
      </w:r>
      <w:r>
        <w:rPr>
          <w:rFonts w:ascii="Times New Roman" w:eastAsia="仿宋" w:hAnsi="Times New Roman" w:cs="仿宋" w:hint="eastAsia"/>
          <w:bCs/>
          <w:color w:val="000000" w:themeColor="text1"/>
          <w:sz w:val="30"/>
          <w:szCs w:val="30"/>
        </w:rPr>
        <w:t>。以信息化引领治安防控，</w:t>
      </w:r>
      <w:r>
        <w:rPr>
          <w:rFonts w:ascii="Times New Roman" w:eastAsia="仿宋" w:hAnsi="Times New Roman" w:cs="仿宋" w:hint="eastAsia"/>
          <w:bCs/>
          <w:sz w:val="30"/>
          <w:szCs w:val="30"/>
        </w:rPr>
        <w:t>建设“北疆云</w:t>
      </w:r>
      <w:r>
        <w:rPr>
          <w:rFonts w:ascii="Times New Roman" w:eastAsia="仿宋" w:hAnsi="Times New Roman" w:cs="Times New Roman"/>
          <w:b/>
          <w:spacing w:val="-34"/>
          <w:sz w:val="30"/>
          <w:szCs w:val="30"/>
        </w:rPr>
        <w:t>·</w:t>
      </w:r>
      <w:r>
        <w:rPr>
          <w:rFonts w:ascii="Times New Roman" w:eastAsia="仿宋" w:hAnsi="Times New Roman" w:cs="仿宋" w:hint="eastAsia"/>
          <w:bCs/>
          <w:sz w:val="30"/>
          <w:szCs w:val="30"/>
        </w:rPr>
        <w:t>智慧公安”大数据综合应用服务平台</w:t>
      </w:r>
      <w:r>
        <w:rPr>
          <w:rFonts w:ascii="Times New Roman" w:eastAsia="仿宋" w:hAnsi="Times New Roman" w:cs="仿宋" w:hint="eastAsia"/>
          <w:bCs/>
          <w:color w:val="000000" w:themeColor="text1"/>
          <w:sz w:val="30"/>
          <w:szCs w:val="30"/>
        </w:rPr>
        <w:t>，大力推动智能安防</w:t>
      </w:r>
      <w:r>
        <w:rPr>
          <w:rFonts w:ascii="Times New Roman" w:eastAsia="仿宋" w:hAnsi="Times New Roman" w:cs="仿宋" w:hint="eastAsia"/>
          <w:bCs/>
          <w:color w:val="000000" w:themeColor="text1"/>
          <w:sz w:val="30"/>
          <w:szCs w:val="30"/>
        </w:rPr>
        <w:lastRenderedPageBreak/>
        <w:t>设施建设，提升公安机关立体防控、快速处置、精准打击和便捷服务能力，提高对各类风险隐患的自动识别、敏锐感知和预测预警预防能力，打造立体化、专业化、智能化的社会治安防控体系，</w:t>
      </w:r>
      <w:r>
        <w:rPr>
          <w:rFonts w:ascii="Times New Roman" w:eastAsia="仿宋" w:hAnsi="Times New Roman" w:cs="仿宋" w:hint="eastAsia"/>
          <w:bCs/>
          <w:sz w:val="30"/>
          <w:szCs w:val="30"/>
        </w:rPr>
        <w:t>不断增强人民群众安全感，建设更高水平平安乌海。</w:t>
      </w:r>
    </w:p>
    <w:p w:rsidR="001328A6" w:rsidRDefault="001328A6">
      <w:pPr>
        <w:pBdr>
          <w:top w:val="none" w:sz="0" w:space="1" w:color="auto"/>
          <w:left w:val="none" w:sz="0" w:space="4" w:color="auto"/>
          <w:bottom w:val="none" w:sz="0" w:space="1" w:color="auto"/>
          <w:right w:val="none" w:sz="0" w:space="4" w:color="auto"/>
        </w:pBdr>
        <w:overflowPunct w:val="0"/>
        <w:spacing w:line="558" w:lineRule="exact"/>
        <w:jc w:val="center"/>
        <w:rPr>
          <w:rFonts w:ascii="Times New Roman" w:eastAsia="仿宋" w:hAnsi="Times New Roman" w:cs="仿宋"/>
          <w:bCs/>
          <w:sz w:val="30"/>
          <w:szCs w:val="30"/>
        </w:rPr>
      </w:pPr>
      <w:bookmarkStart w:id="285" w:name="_Toc4632"/>
      <w:bookmarkStart w:id="286" w:name="_Toc29001"/>
    </w:p>
    <w:p w:rsidR="001328A6" w:rsidRDefault="007F3236">
      <w:pPr>
        <w:pBdr>
          <w:top w:val="none" w:sz="0" w:space="1" w:color="auto"/>
          <w:left w:val="none" w:sz="0" w:space="4" w:color="auto"/>
          <w:bottom w:val="none" w:sz="0" w:space="1" w:color="auto"/>
          <w:right w:val="none" w:sz="0" w:space="4" w:color="auto"/>
        </w:pBdr>
        <w:overflowPunct w:val="0"/>
        <w:spacing w:line="585" w:lineRule="exact"/>
        <w:jc w:val="center"/>
        <w:outlineLvl w:val="2"/>
        <w:rPr>
          <w:rFonts w:ascii="Times New Roman" w:eastAsia="楷体" w:hAnsi="Times New Roman" w:cs="楷体"/>
          <w:bCs/>
          <w:sz w:val="32"/>
          <w:szCs w:val="32"/>
        </w:rPr>
      </w:pPr>
      <w:bookmarkStart w:id="287" w:name="_Toc15482"/>
      <w:r>
        <w:rPr>
          <w:rFonts w:ascii="Times New Roman" w:eastAsia="楷体" w:hAnsi="Times New Roman" w:cs="楷体" w:hint="eastAsia"/>
          <w:bCs/>
          <w:sz w:val="32"/>
          <w:szCs w:val="32"/>
        </w:rPr>
        <w:t>第八节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筑牢网络安全防线</w:t>
      </w:r>
      <w:bookmarkEnd w:id="285"/>
      <w:bookmarkEnd w:id="286"/>
      <w:bookmarkEnd w:id="287"/>
    </w:p>
    <w:p w:rsidR="001328A6" w:rsidRDefault="001328A6">
      <w:pPr>
        <w:pStyle w:val="a7"/>
        <w:pBdr>
          <w:top w:val="none" w:sz="0" w:space="1" w:color="auto"/>
          <w:left w:val="none" w:sz="0" w:space="4" w:color="auto"/>
          <w:bottom w:val="none" w:sz="0" w:space="1" w:color="auto"/>
          <w:right w:val="none" w:sz="0" w:space="4" w:color="auto"/>
        </w:pBdr>
        <w:overflowPunct w:val="0"/>
        <w:spacing w:after="0" w:line="558" w:lineRule="exact"/>
        <w:ind w:firstLineChars="200" w:firstLine="600"/>
        <w:rPr>
          <w:rFonts w:ascii="Times New Roman" w:eastAsia="仿宋" w:hAnsi="Times New Roman" w:cs="仿宋"/>
          <w:bCs/>
          <w:color w:val="000000" w:themeColor="text1"/>
          <w:sz w:val="30"/>
          <w:szCs w:val="30"/>
        </w:rPr>
      </w:pPr>
    </w:p>
    <w:p w:rsidR="001328A6" w:rsidRDefault="007F3236">
      <w:pPr>
        <w:pStyle w:val="a7"/>
        <w:pBdr>
          <w:top w:val="none" w:sz="0" w:space="1" w:color="auto"/>
          <w:left w:val="none" w:sz="0" w:space="4" w:color="auto"/>
          <w:bottom w:val="none" w:sz="0" w:space="1" w:color="auto"/>
          <w:right w:val="none" w:sz="0" w:space="4" w:color="auto"/>
        </w:pBdr>
        <w:overflowPunct w:val="0"/>
        <w:spacing w:after="0"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提升网络安全态势感知和监测预警能力。建设城市级网络安全运营中心，搭建关键信息基础设施安全保卫平台，逐步建立市、区两级网络安全态势感知和预警监测体系，提升关键信息基础设施和重要信息系统威胁感知和持续防御能力。与自治区平台共享信息、联防联动，形成集态势感知预警和应急处置于一体的安全防护体系，实现全面监控、准确分析、快速响应、专家协同，全天候全方位感知网络安全态势。</w:t>
      </w:r>
    </w:p>
    <w:p w:rsidR="001328A6" w:rsidRDefault="007F3236">
      <w:pPr>
        <w:pStyle w:val="a7"/>
        <w:pBdr>
          <w:top w:val="none" w:sz="0" w:space="1" w:color="auto"/>
          <w:left w:val="none" w:sz="0" w:space="4" w:color="auto"/>
          <w:bottom w:val="none" w:sz="0" w:space="1" w:color="auto"/>
          <w:right w:val="none" w:sz="0" w:space="4" w:color="auto"/>
        </w:pBdr>
        <w:overflowPunct w:val="0"/>
        <w:spacing w:after="0"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推进网络安全技术能力建设。建设网络靶场，定期组织党政机关、重点行业企业开展网络安全应急和攻防演练，提升从业人员网络安全技能，提高应急响应和处置恢复能力，跟踪掌握新型网络攻击手段，研究有效防控措施，努力构建覆盖面广、安全可靠、功能优化、性能稳定的风险防控体系。</w:t>
      </w:r>
    </w:p>
    <w:p w:rsidR="001328A6" w:rsidRDefault="007F3236">
      <w:pPr>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br w:type="page"/>
      </w:r>
    </w:p>
    <w:p w:rsidR="001328A6" w:rsidRDefault="007F3236">
      <w:pPr>
        <w:pBdr>
          <w:top w:val="none" w:sz="0" w:space="1" w:color="auto"/>
          <w:left w:val="none" w:sz="0" w:space="4" w:color="auto"/>
          <w:bottom w:val="none" w:sz="0" w:space="1" w:color="auto"/>
          <w:right w:val="none" w:sz="0" w:space="4" w:color="auto"/>
        </w:pBdr>
        <w:overflowPunct w:val="0"/>
        <w:spacing w:line="558" w:lineRule="exact"/>
        <w:jc w:val="center"/>
        <w:outlineLvl w:val="1"/>
        <w:rPr>
          <w:rFonts w:ascii="Times New Roman" w:eastAsia="黑体" w:hAnsi="Times New Roman" w:cs="黑体"/>
          <w:bCs/>
          <w:sz w:val="32"/>
          <w:szCs w:val="32"/>
        </w:rPr>
      </w:pPr>
      <w:bookmarkStart w:id="288" w:name="_Toc11563"/>
      <w:bookmarkStart w:id="289" w:name="_Toc10041"/>
      <w:bookmarkStart w:id="290" w:name="_Toc10247"/>
      <w:bookmarkStart w:id="291" w:name="_Toc25586"/>
      <w:bookmarkStart w:id="292" w:name="_Toc29562"/>
      <w:bookmarkStart w:id="293" w:name="_Toc14236"/>
      <w:r>
        <w:rPr>
          <w:rFonts w:ascii="Times New Roman" w:eastAsia="黑体" w:hAnsi="Times New Roman" w:cs="黑体" w:hint="eastAsia"/>
          <w:bCs/>
          <w:sz w:val="32"/>
          <w:szCs w:val="32"/>
        </w:rPr>
        <w:lastRenderedPageBreak/>
        <w:t>第二十章</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共建共治共享形成高效能社会治理</w:t>
      </w:r>
      <w:bookmarkEnd w:id="288"/>
      <w:bookmarkEnd w:id="289"/>
      <w:bookmarkEnd w:id="290"/>
      <w:r>
        <w:rPr>
          <w:rFonts w:ascii="Times New Roman" w:eastAsia="黑体" w:hAnsi="Times New Roman" w:cs="黑体" w:hint="eastAsia"/>
          <w:bCs/>
          <w:sz w:val="32"/>
          <w:szCs w:val="32"/>
        </w:rPr>
        <w:t>格局</w:t>
      </w:r>
      <w:bookmarkEnd w:id="291"/>
      <w:bookmarkEnd w:id="292"/>
      <w:bookmarkEnd w:id="293"/>
    </w:p>
    <w:p w:rsidR="001328A6" w:rsidRDefault="001328A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坚持和完善共建共治共享的社会治理制度，以市域社会治理现代化试点建设为牵引，加快推进社会治理现代化，不断完善党委领导、政府负责、民主协商、社会协同、公众参与、法治保障、科技支撑的社会治理体系，有效防范化解市域重大矛盾风险。建设人人有责、人人尽责、人人享有的社会治理共同体，营造平安、稳定、和谐的社会发展环境。</w:t>
      </w:r>
    </w:p>
    <w:p w:rsidR="001328A6" w:rsidRDefault="001328A6">
      <w:pPr>
        <w:pBdr>
          <w:top w:val="none" w:sz="0" w:space="1" w:color="auto"/>
          <w:left w:val="none" w:sz="0" w:space="4" w:color="auto"/>
          <w:bottom w:val="none" w:sz="0" w:space="1" w:color="auto"/>
          <w:right w:val="none" w:sz="0" w:space="4" w:color="auto"/>
        </w:pBdr>
        <w:overflowPunct w:val="0"/>
        <w:spacing w:line="558" w:lineRule="exact"/>
        <w:jc w:val="center"/>
        <w:rPr>
          <w:rFonts w:ascii="Times New Roman" w:eastAsia="仿宋" w:hAnsi="Times New Roman" w:cs="仿宋"/>
          <w:bCs/>
          <w:sz w:val="30"/>
          <w:szCs w:val="30"/>
        </w:rPr>
      </w:pPr>
      <w:bookmarkStart w:id="294" w:name="_Toc585"/>
      <w:bookmarkStart w:id="295" w:name="_Toc15125"/>
    </w:p>
    <w:p w:rsidR="001328A6" w:rsidRDefault="007F3236">
      <w:pPr>
        <w:pBdr>
          <w:top w:val="none" w:sz="0" w:space="1" w:color="auto"/>
          <w:left w:val="none" w:sz="0" w:space="4" w:color="auto"/>
          <w:bottom w:val="none" w:sz="0" w:space="1" w:color="auto"/>
          <w:right w:val="none" w:sz="0" w:space="4" w:color="auto"/>
        </w:pBdr>
        <w:overflowPunct w:val="0"/>
        <w:spacing w:line="558" w:lineRule="exact"/>
        <w:jc w:val="center"/>
        <w:outlineLvl w:val="2"/>
        <w:rPr>
          <w:rFonts w:ascii="Times New Roman" w:eastAsia="楷体" w:hAnsi="Times New Roman" w:cs="楷体"/>
          <w:bCs/>
          <w:sz w:val="32"/>
          <w:szCs w:val="32"/>
        </w:rPr>
      </w:pPr>
      <w:bookmarkStart w:id="296" w:name="_Toc5976"/>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大力推进依法治市</w:t>
      </w:r>
      <w:bookmarkEnd w:id="294"/>
      <w:bookmarkEnd w:id="295"/>
      <w:bookmarkEnd w:id="296"/>
    </w:p>
    <w:p w:rsidR="001328A6" w:rsidRDefault="001328A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C00000"/>
          <w:sz w:val="30"/>
          <w:szCs w:val="30"/>
        </w:rPr>
      </w:pPr>
      <w:r>
        <w:rPr>
          <w:rFonts w:ascii="Times New Roman" w:eastAsia="仿宋" w:hAnsi="Times New Roman" w:cs="仿宋" w:hint="eastAsia"/>
          <w:bCs/>
          <w:color w:val="000000" w:themeColor="text1"/>
          <w:sz w:val="30"/>
          <w:szCs w:val="30"/>
        </w:rPr>
        <w:t>加强法治政府、法治社会一体化建设。</w:t>
      </w:r>
      <w:r>
        <w:rPr>
          <w:rFonts w:ascii="Times New Roman" w:eastAsia="仿宋" w:hAnsi="Times New Roman" w:cs="仿宋" w:hint="eastAsia"/>
          <w:bCs/>
          <w:sz w:val="30"/>
          <w:szCs w:val="30"/>
        </w:rPr>
        <w:t>坚持依法治国基本方略，认真贯彻落实习近平法治思想，落实《法治中国建设规划（</w:t>
      </w:r>
      <w:r>
        <w:rPr>
          <w:rFonts w:ascii="Times New Roman" w:eastAsia="仿宋" w:hAnsi="Times New Roman" w:cs="仿宋" w:hint="eastAsia"/>
          <w:bCs/>
          <w:sz w:val="30"/>
          <w:szCs w:val="30"/>
        </w:rPr>
        <w:t>2020</w:t>
      </w:r>
      <w:r>
        <w:rPr>
          <w:rFonts w:ascii="Times New Roman" w:eastAsia="仿宋" w:hAnsi="Times New Roman" w:cs="仿宋" w:hint="eastAsia"/>
          <w:bCs/>
          <w:sz w:val="30"/>
          <w:szCs w:val="30"/>
        </w:rPr>
        <w:t>—</w:t>
      </w:r>
      <w:r>
        <w:rPr>
          <w:rFonts w:ascii="Times New Roman" w:eastAsia="仿宋" w:hAnsi="Times New Roman" w:cs="仿宋" w:hint="eastAsia"/>
          <w:bCs/>
          <w:sz w:val="30"/>
          <w:szCs w:val="30"/>
        </w:rPr>
        <w:t>2025</w:t>
      </w:r>
      <w:r>
        <w:rPr>
          <w:rFonts w:ascii="Times New Roman" w:eastAsia="仿宋" w:hAnsi="Times New Roman" w:cs="仿宋" w:hint="eastAsia"/>
          <w:bCs/>
          <w:sz w:val="30"/>
          <w:szCs w:val="30"/>
        </w:rPr>
        <w:t>年）》，以各级党政主要负责人履行法治建设第一责任人为关键，以法治政府建设为重点，统筹推进科学立法、严格执法、公正司法、全民守法进程，为我市经济社会高质量发展提供坚强的法治保障。全面推进依法行政，严格执行重大行政决策法定程序，全面推行行政执法“三项制度”，聚焦行政执法的源头、过程、结果等关键环节，加大规范行政执法行为力度，切实保障人民群众合法权益，维护政府公信力。</w:t>
      </w:r>
      <w:r>
        <w:rPr>
          <w:rFonts w:ascii="Times New Roman" w:eastAsia="仿宋" w:hAnsi="Times New Roman" w:cs="仿宋" w:hint="eastAsia"/>
          <w:bCs/>
          <w:color w:val="000000" w:themeColor="text1"/>
          <w:sz w:val="30"/>
          <w:szCs w:val="30"/>
        </w:rPr>
        <w:t>自觉接受人大法律监督、政协民主监督、社会舆论监督和审计监督。</w:t>
      </w:r>
      <w:r>
        <w:rPr>
          <w:rFonts w:ascii="Times New Roman" w:eastAsia="仿宋" w:hAnsi="Times New Roman" w:cs="仿宋" w:hint="eastAsia"/>
          <w:bCs/>
          <w:sz w:val="30"/>
          <w:szCs w:val="30"/>
        </w:rPr>
        <w:t>持续深化司法体制改革，促进社会公平正义。严格执行产权执法司法保护制度。加强基层法治建设，完善调处机制，深化法治宣传教育，夯实基层法治基础，提高基层依法治</w:t>
      </w:r>
      <w:r>
        <w:rPr>
          <w:rFonts w:ascii="Times New Roman" w:eastAsia="仿宋" w:hAnsi="Times New Roman" w:cs="仿宋" w:hint="eastAsia"/>
          <w:bCs/>
          <w:sz w:val="30"/>
          <w:szCs w:val="30"/>
        </w:rPr>
        <w:lastRenderedPageBreak/>
        <w:t>理的能力和水平。加大法治政府建设智能化一体平台应用力度，推进“区块链</w:t>
      </w:r>
      <w:r>
        <w:rPr>
          <w:rFonts w:ascii="Times New Roman" w:eastAsia="仿宋" w:hAnsi="Times New Roman" w:cs="仿宋" w:hint="eastAsia"/>
          <w:bCs/>
          <w:sz w:val="30"/>
          <w:szCs w:val="30"/>
        </w:rPr>
        <w:t>+</w:t>
      </w:r>
      <w:r>
        <w:rPr>
          <w:rFonts w:ascii="Times New Roman" w:eastAsia="仿宋" w:hAnsi="Times New Roman" w:cs="仿宋" w:hint="eastAsia"/>
          <w:bCs/>
          <w:sz w:val="30"/>
          <w:szCs w:val="30"/>
        </w:rPr>
        <w:t>法治”深度融合，加快智慧司法建设，推动司法行政工作质量变革、效率变革、动力变革。</w:t>
      </w: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加强法治宣传教育。</w:t>
      </w:r>
      <w:r>
        <w:rPr>
          <w:rFonts w:ascii="Times New Roman" w:eastAsia="仿宋" w:hAnsi="Times New Roman" w:cs="仿宋" w:hint="eastAsia"/>
          <w:bCs/>
          <w:sz w:val="30"/>
          <w:szCs w:val="30"/>
        </w:rPr>
        <w:t>坚持把宣传以宪法为核心的中国特色社会主义法律体系作为法治宣传的基本任务，开展“八五”普法工作，弘扬社会主义法治精神，全面落实“谁执法谁普法”的普法责任制。</w:t>
      </w:r>
      <w:r>
        <w:rPr>
          <w:rFonts w:ascii="Times New Roman" w:eastAsia="仿宋" w:hAnsi="Times New Roman" w:cs="仿宋" w:hint="eastAsia"/>
          <w:bCs/>
          <w:color w:val="000000" w:themeColor="text1"/>
          <w:sz w:val="30"/>
          <w:szCs w:val="30"/>
        </w:rPr>
        <w:t>积极探索普法新模式，推进法治宣传教育工作精准高效，把法治教育纳入干部教育培训总体规划，实施“互联网</w:t>
      </w:r>
      <w:r>
        <w:rPr>
          <w:rFonts w:ascii="Times New Roman" w:eastAsia="仿宋" w:hAnsi="Times New Roman" w:cs="仿宋" w:hint="eastAsia"/>
          <w:bCs/>
          <w:color w:val="000000" w:themeColor="text1"/>
          <w:sz w:val="30"/>
          <w:szCs w:val="30"/>
        </w:rPr>
        <w:t>+</w:t>
      </w:r>
      <w:r>
        <w:rPr>
          <w:rFonts w:ascii="Times New Roman" w:eastAsia="仿宋" w:hAnsi="Times New Roman" w:cs="仿宋" w:hint="eastAsia"/>
          <w:bCs/>
          <w:color w:val="000000" w:themeColor="text1"/>
          <w:sz w:val="30"/>
          <w:szCs w:val="30"/>
        </w:rPr>
        <w:t>法治宣传”行动，充分运用网页、客户端、微博、微信、抖音、快手等传播载体开展法治宣传教育，构建全方位立体化普法新格局。</w:t>
      </w:r>
    </w:p>
    <w:p w:rsidR="001328A6" w:rsidRDefault="001328A6">
      <w:pPr>
        <w:pBdr>
          <w:top w:val="none" w:sz="0" w:space="1" w:color="auto"/>
          <w:left w:val="none" w:sz="0" w:space="4" w:color="auto"/>
          <w:bottom w:val="none" w:sz="0" w:space="1" w:color="auto"/>
          <w:right w:val="none" w:sz="0" w:space="4" w:color="auto"/>
        </w:pBdr>
        <w:overflowPunct w:val="0"/>
        <w:spacing w:line="560" w:lineRule="exact"/>
        <w:jc w:val="center"/>
        <w:rPr>
          <w:rFonts w:ascii="Times New Roman" w:eastAsia="仿宋" w:hAnsi="Times New Roman" w:cs="仿宋"/>
          <w:bCs/>
          <w:sz w:val="30"/>
          <w:szCs w:val="30"/>
        </w:rPr>
      </w:pPr>
      <w:bookmarkStart w:id="297" w:name="_Toc8067"/>
      <w:bookmarkStart w:id="298" w:name="_Toc28971"/>
    </w:p>
    <w:p w:rsidR="001328A6" w:rsidRDefault="007F3236">
      <w:pPr>
        <w:pBdr>
          <w:top w:val="none" w:sz="0" w:space="1" w:color="auto"/>
          <w:left w:val="none" w:sz="0" w:space="4" w:color="auto"/>
          <w:bottom w:val="none" w:sz="0" w:space="1" w:color="auto"/>
          <w:right w:val="none" w:sz="0" w:space="4" w:color="auto"/>
        </w:pBdr>
        <w:overflowPunct w:val="0"/>
        <w:spacing w:line="560" w:lineRule="exact"/>
        <w:jc w:val="center"/>
        <w:outlineLvl w:val="2"/>
        <w:rPr>
          <w:rFonts w:ascii="Times New Roman" w:eastAsia="楷体" w:hAnsi="Times New Roman" w:cs="楷体"/>
          <w:bCs/>
          <w:sz w:val="32"/>
          <w:szCs w:val="32"/>
        </w:rPr>
      </w:pPr>
      <w:bookmarkStart w:id="299" w:name="_Toc21995"/>
      <w:r>
        <w:rPr>
          <w:rFonts w:ascii="Times New Roman" w:eastAsia="楷体" w:hAnsi="Times New Roman" w:cs="楷体" w:hint="eastAsia"/>
          <w:bCs/>
          <w:sz w:val="32"/>
          <w:szCs w:val="32"/>
        </w:rPr>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推动市域社会治理现代化</w:t>
      </w:r>
      <w:bookmarkEnd w:id="297"/>
      <w:bookmarkEnd w:id="298"/>
      <w:bookmarkEnd w:id="299"/>
    </w:p>
    <w:p w:rsidR="001328A6" w:rsidRDefault="001328A6">
      <w:pPr>
        <w:pBdr>
          <w:top w:val="none" w:sz="0" w:space="1" w:color="auto"/>
          <w:left w:val="none" w:sz="0" w:space="4" w:color="auto"/>
          <w:bottom w:val="none" w:sz="0" w:space="1" w:color="auto"/>
          <w:right w:val="none" w:sz="0" w:space="4" w:color="auto"/>
        </w:pBdr>
        <w:overflowPunct w:val="0"/>
        <w:spacing w:line="560" w:lineRule="exact"/>
        <w:jc w:val="center"/>
        <w:outlineLvl w:val="2"/>
        <w:rPr>
          <w:rFonts w:ascii="Times New Roman" w:eastAsia="楷体" w:hAnsi="Times New Roman" w:cs="楷体"/>
          <w:bCs/>
          <w:sz w:val="32"/>
          <w:szCs w:val="32"/>
        </w:rPr>
      </w:pPr>
    </w:p>
    <w:p w:rsidR="001328A6" w:rsidRDefault="007F3236">
      <w:pPr>
        <w:pBdr>
          <w:top w:val="none" w:sz="0" w:space="1" w:color="auto"/>
          <w:left w:val="none" w:sz="0" w:space="4" w:color="auto"/>
          <w:bottom w:val="none" w:sz="0" w:space="1" w:color="auto"/>
          <w:right w:val="none" w:sz="0" w:space="4" w:color="auto"/>
        </w:pBdr>
        <w:overflowPunct w:val="0"/>
        <w:spacing w:line="560" w:lineRule="exact"/>
        <w:ind w:firstLineChars="210" w:firstLine="630"/>
        <w:rPr>
          <w:rFonts w:ascii="Times New Roman" w:eastAsia="仿宋" w:hAnsi="Times New Roman" w:cs="仿宋"/>
          <w:bCs/>
          <w:sz w:val="30"/>
          <w:szCs w:val="30"/>
        </w:rPr>
      </w:pPr>
      <w:r>
        <w:rPr>
          <w:rFonts w:ascii="Times New Roman" w:eastAsia="仿宋" w:hAnsi="Times New Roman" w:cs="仿宋" w:hint="eastAsia"/>
          <w:bCs/>
          <w:sz w:val="30"/>
          <w:szCs w:val="30"/>
        </w:rPr>
        <w:t>构建精准高效的市域风险防控体系。织密维护政治安全网，健全工作机制，加强国家安全人民防线建设。织密公共安全防护网，牢固树立“全周期管理”意识，建立统一指挥、专常兼备、反应灵敏、上下联动的应急管理体制，提高风险预测预警预防能力。织密社会治安防控网，加强立体化智能化社会治安防控体系建设，严厉打击各类违法犯罪，完善扫黑除恶常态化机制，建立命案防控责任机制，确保社会治安大局稳定。织密矛盾风险化解网，加强矛盾纠纷调处中心建设，搭建矛盾纠纷在线多元化解平台，实现“网上网下”调处结合、诉调对接的多元化纠纷解决机制，及时有效把社会矛盾化解在基层，把重大矛盾风险化解防控在市域。</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645"/>
        <w:rPr>
          <w:rFonts w:ascii="Times New Roman" w:eastAsia="仿宋" w:hAnsi="Times New Roman" w:cs="仿宋"/>
          <w:bCs/>
          <w:sz w:val="30"/>
          <w:szCs w:val="30"/>
        </w:rPr>
      </w:pPr>
      <w:r>
        <w:rPr>
          <w:rFonts w:ascii="Times New Roman" w:eastAsia="仿宋" w:hAnsi="Times New Roman" w:cs="仿宋" w:hint="eastAsia"/>
          <w:bCs/>
          <w:sz w:val="30"/>
          <w:szCs w:val="30"/>
        </w:rPr>
        <w:lastRenderedPageBreak/>
        <w:t>构建融会贯通的市域数据共享体系。建设贯通市、区、镇（街道）</w:t>
      </w:r>
      <w:r>
        <w:rPr>
          <w:rFonts w:ascii="Times New Roman" w:eastAsia="仿宋" w:hAnsi="Times New Roman" w:cs="仿宋" w:hint="eastAsia"/>
          <w:bCs/>
          <w:spacing w:val="-6"/>
          <w:sz w:val="30"/>
          <w:szCs w:val="30"/>
        </w:rPr>
        <w:t>、村（社区）、网格五级的市域社会治理智能化平台，打通数据壁垒，汇聚融合海量数据，形成市域社会治理数据大脑，打造数据融合、态势评估、精准预警、实时指挥、协同共治平台，推进多个市域社会治理智能化系统场景应用建设，提高市域社会治理智能化水平。开展“城市交通大数据平台”建设，深化“雪亮工程”建设应用，推进“智慧小区”建设，加强政法部门跨部门网上办案平台和智慧法院、智慧检务、智慧公安、智慧司法、智慧国安、武</w:t>
      </w:r>
      <w:r>
        <w:rPr>
          <w:rFonts w:ascii="Times New Roman" w:eastAsia="仿宋" w:hAnsi="Times New Roman" w:cs="仿宋" w:hint="eastAsia"/>
          <w:bCs/>
          <w:sz w:val="30"/>
          <w:szCs w:val="30"/>
        </w:rPr>
        <w:t>警“智慧磐石”等建设，提升风险防控和管理服务精细化精准化水平。</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10" w:firstLine="630"/>
        <w:rPr>
          <w:rFonts w:ascii="Times New Roman" w:eastAsia="仿宋" w:hAnsi="Times New Roman" w:cs="仿宋"/>
          <w:bCs/>
          <w:sz w:val="30"/>
          <w:szCs w:val="30"/>
        </w:rPr>
      </w:pPr>
      <w:r>
        <w:rPr>
          <w:rFonts w:ascii="Times New Roman" w:eastAsia="仿宋" w:hAnsi="Times New Roman" w:cs="仿宋" w:hint="eastAsia"/>
          <w:bCs/>
          <w:sz w:val="30"/>
          <w:szCs w:val="30"/>
        </w:rPr>
        <w:t>构建持续优化的市域服务供给体系。推动公共服务均等化，加快城乡基本公共服务、基础设施一体化建设。深化“放管服”改革，持续开展“减证便民”行动，推进“互联网</w:t>
      </w:r>
      <w:r>
        <w:rPr>
          <w:rFonts w:ascii="Times New Roman" w:eastAsia="仿宋" w:hAnsi="Times New Roman" w:cs="仿宋" w:hint="eastAsia"/>
          <w:bCs/>
          <w:sz w:val="30"/>
          <w:szCs w:val="30"/>
        </w:rPr>
        <w:t>+</w:t>
      </w:r>
      <w:r>
        <w:rPr>
          <w:rFonts w:ascii="Times New Roman" w:eastAsia="仿宋" w:hAnsi="Times New Roman" w:cs="仿宋" w:hint="eastAsia"/>
          <w:bCs/>
          <w:sz w:val="30"/>
          <w:szCs w:val="30"/>
        </w:rPr>
        <w:t>政务服务”建设，推广“最多跑一次”“马上办、网上办、就近办、一次办”等便民措施。推进“</w:t>
      </w:r>
      <w:r>
        <w:rPr>
          <w:rFonts w:ascii="Times New Roman" w:eastAsia="仿宋" w:hAnsi="Times New Roman" w:cs="仿宋" w:hint="eastAsia"/>
          <w:bCs/>
          <w:sz w:val="30"/>
          <w:szCs w:val="30"/>
        </w:rPr>
        <w:t>12345</w:t>
      </w:r>
      <w:r>
        <w:rPr>
          <w:rFonts w:ascii="Times New Roman" w:eastAsia="仿宋" w:hAnsi="Times New Roman" w:cs="仿宋" w:hint="eastAsia"/>
          <w:bCs/>
          <w:sz w:val="30"/>
          <w:szCs w:val="30"/>
        </w:rPr>
        <w:t>平台”融合各部门网上办事大厅、政务服务</w:t>
      </w:r>
      <w:r>
        <w:rPr>
          <w:rFonts w:ascii="Times New Roman" w:eastAsia="仿宋" w:hAnsi="Times New Roman" w:cs="仿宋" w:hint="eastAsia"/>
          <w:bCs/>
          <w:sz w:val="30"/>
          <w:szCs w:val="30"/>
        </w:rPr>
        <w:t>APP</w:t>
      </w:r>
      <w:r>
        <w:rPr>
          <w:rFonts w:ascii="Times New Roman" w:eastAsia="仿宋" w:hAnsi="Times New Roman" w:cs="仿宋" w:hint="eastAsia"/>
          <w:bCs/>
          <w:sz w:val="30"/>
          <w:szCs w:val="30"/>
        </w:rPr>
        <w:t>、移动审批</w:t>
      </w:r>
      <w:r>
        <w:rPr>
          <w:rFonts w:ascii="Times New Roman" w:eastAsia="仿宋" w:hAnsi="Times New Roman" w:cs="仿宋" w:hint="eastAsia"/>
          <w:bCs/>
          <w:sz w:val="30"/>
          <w:szCs w:val="30"/>
        </w:rPr>
        <w:t>APP</w:t>
      </w:r>
      <w:r>
        <w:rPr>
          <w:rFonts w:ascii="Times New Roman" w:eastAsia="仿宋" w:hAnsi="Times New Roman" w:cs="仿宋" w:hint="eastAsia"/>
          <w:bCs/>
          <w:sz w:val="30"/>
          <w:szCs w:val="30"/>
        </w:rPr>
        <w:t>、服务热线、微信公众号等渠道，广泛收集民情民意，精准提供公共服务。健全广大群众对公共服务的评价机制，畅通群众对民生事项、公共服务办理情况的评议评价渠道。</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10" w:firstLine="630"/>
        <w:rPr>
          <w:rFonts w:ascii="Times New Roman" w:eastAsia="仿宋_GB2312" w:hAnsi="Times New Roman" w:cs="Times New Roman"/>
          <w:bCs/>
          <w:sz w:val="32"/>
          <w:szCs w:val="32"/>
        </w:rPr>
      </w:pPr>
      <w:r>
        <w:rPr>
          <w:rFonts w:ascii="Times New Roman" w:eastAsia="仿宋" w:hAnsi="Times New Roman" w:cs="仿宋" w:hint="eastAsia"/>
          <w:bCs/>
          <w:sz w:val="30"/>
          <w:szCs w:val="30"/>
        </w:rPr>
        <w:t>构建“三治融合”的基层社会治理体系。健全党组织领导的自治、法治、德治相结合的城乡社区基层治理体系，完善基层民主协商制度，实现政府治理同社会调解、居民自治良性互动，发挥群团组织和社会组织在社会治理中的作用。完善党建引领体制，赋予街道党工委相应职责职权，推进社区减负增效，推动行政执法权限和</w:t>
      </w:r>
      <w:r>
        <w:rPr>
          <w:rFonts w:ascii="Times New Roman" w:eastAsia="仿宋" w:hAnsi="Times New Roman" w:cs="仿宋" w:hint="eastAsia"/>
          <w:bCs/>
          <w:sz w:val="30"/>
          <w:szCs w:val="30"/>
        </w:rPr>
        <w:lastRenderedPageBreak/>
        <w:t>力量向基层延伸下沉，组建统一的街道综合行政执法机构，实现镇（街道）吹哨、部门报到。加强镇（街道）“两所两办一中心”建设，深化网格服务管理标准化建设，推动组织体系、网格标准、网格力量、平台系统、数据资源、工作机制“六统一”。完善村（居）民议事会、理事会、监督委员会等自治载体，健全社会组织孵化培育、人才培养、资金支持机制，广泛动员群众参与社会治理。加强市域社会治理领域立法，健全完善各级党委政府法律顾问、公职律师制度，构建覆盖城乡的公共法律服务体系。以培育和践行社会主义核心价值观为引领，强化教育引导、信用建设和志愿服务。</w:t>
      </w:r>
    </w:p>
    <w:p w:rsidR="001328A6" w:rsidRDefault="007F3236">
      <w:pPr>
        <w:overflowPunct w:val="0"/>
        <w:spacing w:line="580" w:lineRule="exact"/>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br w:type="page"/>
      </w: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0"/>
        <w:rPr>
          <w:rFonts w:ascii="方正小标宋简体" w:eastAsia="方正小标宋简体" w:hAnsi="方正小标宋简体" w:cs="方正小标宋简体"/>
          <w:bCs/>
          <w:sz w:val="32"/>
          <w:szCs w:val="32"/>
        </w:rPr>
      </w:pPr>
      <w:bookmarkStart w:id="300" w:name="_Toc71"/>
      <w:bookmarkStart w:id="301" w:name="_Toc19787"/>
      <w:r>
        <w:rPr>
          <w:rFonts w:ascii="方正小标宋简体" w:eastAsia="方正小标宋简体" w:hAnsi="方正小标宋简体" w:cs="方正小标宋简体" w:hint="eastAsia"/>
          <w:bCs/>
          <w:sz w:val="32"/>
          <w:szCs w:val="32"/>
        </w:rPr>
        <w:lastRenderedPageBreak/>
        <w:t>第六篇  提升公共服务质量实现生活品质更优</w:t>
      </w:r>
      <w:bookmarkEnd w:id="300"/>
      <w:bookmarkEnd w:id="301"/>
    </w:p>
    <w:p w:rsidR="001328A6" w:rsidRDefault="001328A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sz w:val="30"/>
          <w:szCs w:val="30"/>
        </w:rPr>
        <w:t>按照习近平总书记“坚持人民至上、紧紧依靠人民、不断造福人民、牢牢植根人民”的重要指示要求，</w:t>
      </w:r>
      <w:r>
        <w:rPr>
          <w:rFonts w:ascii="Times New Roman" w:eastAsia="仿宋" w:hAnsi="Times New Roman" w:cs="仿宋" w:hint="eastAsia"/>
          <w:bCs/>
          <w:color w:val="000000" w:themeColor="text1"/>
          <w:sz w:val="30"/>
          <w:szCs w:val="30"/>
        </w:rPr>
        <w:t>尽力而为、量力而行，持续增加优质公共服务供给，提高生活品质，不断增强人民群众的获得感、幸福感、安全感，使</w:t>
      </w:r>
      <w:r>
        <w:rPr>
          <w:rFonts w:ascii="Times New Roman" w:eastAsia="仿宋" w:hAnsi="Times New Roman" w:cs="仿宋" w:hint="eastAsia"/>
          <w:bCs/>
          <w:sz w:val="30"/>
          <w:szCs w:val="30"/>
        </w:rPr>
        <w:t>共享成为根本目的，</w:t>
      </w:r>
      <w:r>
        <w:rPr>
          <w:rFonts w:ascii="Times New Roman" w:eastAsia="仿宋" w:hAnsi="Times New Roman" w:cs="仿宋" w:hint="eastAsia"/>
          <w:bCs/>
          <w:color w:val="000000" w:themeColor="text1"/>
          <w:sz w:val="30"/>
          <w:szCs w:val="30"/>
        </w:rPr>
        <w:t>促进人的全面发展和社会全面进步。</w:t>
      </w:r>
    </w:p>
    <w:p w:rsidR="001328A6" w:rsidRDefault="001328A6">
      <w:pPr>
        <w:pBdr>
          <w:top w:val="none" w:sz="0" w:space="1" w:color="auto"/>
          <w:left w:val="none" w:sz="0" w:space="4" w:color="auto"/>
          <w:bottom w:val="none" w:sz="0" w:space="1" w:color="auto"/>
          <w:right w:val="none" w:sz="0" w:space="4" w:color="auto"/>
        </w:pBdr>
        <w:overflowPunct w:val="0"/>
        <w:spacing w:line="558" w:lineRule="exact"/>
        <w:jc w:val="center"/>
        <w:rPr>
          <w:rFonts w:ascii="Times New Roman" w:eastAsia="仿宋" w:hAnsi="Times New Roman" w:cs="仿宋"/>
          <w:bCs/>
          <w:sz w:val="30"/>
          <w:szCs w:val="30"/>
        </w:rPr>
      </w:pPr>
      <w:bookmarkStart w:id="302" w:name="_Toc24472"/>
    </w:p>
    <w:p w:rsidR="001328A6" w:rsidRDefault="007F3236">
      <w:pPr>
        <w:pBdr>
          <w:top w:val="none" w:sz="0" w:space="1" w:color="auto"/>
          <w:left w:val="none" w:sz="0" w:space="4" w:color="auto"/>
          <w:bottom w:val="none" w:sz="0" w:space="1" w:color="auto"/>
          <w:right w:val="none" w:sz="0" w:space="4" w:color="auto"/>
        </w:pBdr>
        <w:overflowPunct w:val="0"/>
        <w:spacing w:line="558" w:lineRule="exact"/>
        <w:jc w:val="center"/>
        <w:outlineLvl w:val="1"/>
        <w:rPr>
          <w:rFonts w:ascii="Times New Roman" w:eastAsia="黑体" w:hAnsi="Times New Roman" w:cs="黑体"/>
          <w:bCs/>
          <w:sz w:val="32"/>
          <w:szCs w:val="32"/>
        </w:rPr>
      </w:pPr>
      <w:bookmarkStart w:id="303" w:name="_Toc30368"/>
      <w:bookmarkStart w:id="304" w:name="_Toc10389"/>
      <w:r>
        <w:rPr>
          <w:rFonts w:ascii="Times New Roman" w:eastAsia="黑体" w:hAnsi="Times New Roman" w:cs="黑体" w:hint="eastAsia"/>
          <w:bCs/>
          <w:sz w:val="32"/>
          <w:szCs w:val="32"/>
        </w:rPr>
        <w:t>第二十一章</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改善民生福祉逐步实现发展成果均等化共享</w:t>
      </w:r>
      <w:bookmarkEnd w:id="302"/>
      <w:bookmarkEnd w:id="303"/>
      <w:bookmarkEnd w:id="304"/>
    </w:p>
    <w:p w:rsidR="001328A6" w:rsidRDefault="001328A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坚持立足乌海辐射周边地区，适应建设区域中心城市的需要，统筹考虑我市及周边地区的需求，构建更高水平的就业、社会保障、养老等公共服务体系，稳步提升基本公共服务均等化、普惠化、便捷化水平。</w:t>
      </w:r>
    </w:p>
    <w:p w:rsidR="001328A6" w:rsidRDefault="001328A6">
      <w:pPr>
        <w:pBdr>
          <w:top w:val="none" w:sz="0" w:space="1" w:color="auto"/>
          <w:left w:val="none" w:sz="0" w:space="4" w:color="auto"/>
          <w:bottom w:val="none" w:sz="0" w:space="1" w:color="auto"/>
          <w:right w:val="none" w:sz="0" w:space="4" w:color="auto"/>
        </w:pBdr>
        <w:overflowPunct w:val="0"/>
        <w:spacing w:line="558" w:lineRule="exact"/>
        <w:jc w:val="center"/>
        <w:rPr>
          <w:rFonts w:ascii="Times New Roman" w:eastAsia="仿宋" w:hAnsi="Times New Roman" w:cs="仿宋"/>
          <w:bCs/>
          <w:sz w:val="30"/>
          <w:szCs w:val="30"/>
        </w:rPr>
      </w:pPr>
      <w:bookmarkStart w:id="305" w:name="_Toc25897"/>
      <w:bookmarkStart w:id="306" w:name="_Toc17342"/>
    </w:p>
    <w:p w:rsidR="001328A6" w:rsidRDefault="007F3236">
      <w:pPr>
        <w:pBdr>
          <w:top w:val="none" w:sz="0" w:space="1" w:color="auto"/>
          <w:left w:val="none" w:sz="0" w:space="4" w:color="auto"/>
          <w:bottom w:val="none" w:sz="0" w:space="1" w:color="auto"/>
          <w:right w:val="none" w:sz="0" w:space="4" w:color="auto"/>
        </w:pBdr>
        <w:overflowPunct w:val="0"/>
        <w:spacing w:line="558" w:lineRule="exact"/>
        <w:jc w:val="center"/>
        <w:outlineLvl w:val="2"/>
        <w:rPr>
          <w:rFonts w:ascii="Times New Roman" w:eastAsia="楷体" w:hAnsi="Times New Roman" w:cs="楷体"/>
          <w:bCs/>
          <w:sz w:val="32"/>
          <w:szCs w:val="32"/>
        </w:rPr>
      </w:pPr>
      <w:bookmarkStart w:id="307" w:name="_Toc614"/>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促进高质量就业</w:t>
      </w:r>
      <w:bookmarkEnd w:id="305"/>
      <w:bookmarkEnd w:id="306"/>
      <w:bookmarkEnd w:id="307"/>
    </w:p>
    <w:p w:rsidR="001328A6" w:rsidRDefault="001328A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sz w:val="30"/>
          <w:szCs w:val="30"/>
        </w:rPr>
        <w:t>大力推进重点群体就业。</w:t>
      </w:r>
      <w:r>
        <w:rPr>
          <w:rFonts w:ascii="Times New Roman" w:eastAsia="仿宋" w:hAnsi="Times New Roman" w:cs="仿宋" w:hint="eastAsia"/>
          <w:bCs/>
          <w:color w:val="000000" w:themeColor="text1"/>
          <w:sz w:val="30"/>
          <w:szCs w:val="30"/>
        </w:rPr>
        <w:t>千方百计稳定和扩大就业，落实就业优先战略和积极就业政策，确保城镇新增就业人数完成既定目标任务，城镇调查失业率控制在自治区下达目标任务之内。完善创业担保贷款、税收优惠、创业补助等针对性政策，加快培育新就业形态，促进高校毕业生、农民工、退役军人、失业人员等重点群体实现多</w:t>
      </w:r>
      <w:r>
        <w:rPr>
          <w:rFonts w:ascii="Times New Roman" w:eastAsia="仿宋" w:hAnsi="Times New Roman" w:cs="仿宋" w:hint="eastAsia"/>
          <w:bCs/>
          <w:color w:val="000000" w:themeColor="text1"/>
          <w:sz w:val="30"/>
          <w:szCs w:val="30"/>
        </w:rPr>
        <w:lastRenderedPageBreak/>
        <w:t>渠道灵活就业。完善困难就业群体帮扶机制，进一步加大公益性岗位开发力度，确保零就业家庭动态清零。完善公共就业服务体系，搭建便捷高效的公共就业服务信息化平台。完善失业监测预警和应急处理机制，落实企业减负稳岗政策，加大对中小微企业的扶持，实施拉动就业能力强的项目，保障重点群体充分就业。</w:t>
      </w: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促进创业带动就业。积极拓展就业新空间，充分利用平台经济、众包经济、共享经济等平台，挖掘就业潜力，丰富就业形式，增加岗位供给，促进劳动者稳定就业。持续优化营商环境，加强审批管理服务，形成便于复制、带动力强、成功率高的“双创”模式，以创业稳就业。完善创业扶持政策，拓宽创业融资渠道，提升创业服务能力，抓好创业园孵化基地建设，鼓励更多社会主体投身创新创业，增强创业带动就业能力。保障劳动者待遇和权益，完善劳动关系协调机制。</w:t>
      </w: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加强职业技能培训。更加注重解决结构性就业矛盾，持续开展职业技能提升行动，完善职业培训政策和终身职业技能培训制度，推进产教融合试点城市</w:t>
      </w:r>
      <w:r>
        <w:rPr>
          <w:rFonts w:ascii="Times New Roman" w:eastAsia="仿宋" w:hAnsi="Times New Roman" w:cs="仿宋" w:hint="eastAsia"/>
          <w:bCs/>
          <w:sz w:val="30"/>
          <w:szCs w:val="30"/>
        </w:rPr>
        <w:t>建设，</w:t>
      </w:r>
      <w:r>
        <w:rPr>
          <w:rFonts w:ascii="Times New Roman" w:eastAsia="仿宋" w:hAnsi="Times New Roman" w:cs="仿宋" w:hint="eastAsia"/>
          <w:bCs/>
          <w:color w:val="000000" w:themeColor="text1"/>
          <w:sz w:val="30"/>
          <w:szCs w:val="30"/>
        </w:rPr>
        <w:t>鼓励和支持企业、职业学院、民办机构开展职业技能培训，强化订单式、定向式、定岗式培训，增加培训有效供给，提升劳动者职业技能水平。完善职业教育和培训体系，围绕家政服务、养老服务、托育服务、健康养生、医疗护理等民生领域服务需求，提升从业人员职业技能，提高服务业吸纳就业水平。将灵活就业人员纳入创业培训范围，灵活安排培训时间和培训方式，支持乌海职业技术学院、互联网平台企业组织开展新兴产业、先进制造业、现代服务业等领域技能培训，增强劳动者就业创业能力。</w:t>
      </w: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308" w:name="_Toc14936"/>
      <w:bookmarkStart w:id="309" w:name="_Toc25377"/>
      <w:bookmarkStart w:id="310" w:name="_Toc25111"/>
      <w:r>
        <w:rPr>
          <w:rFonts w:ascii="Times New Roman" w:eastAsia="楷体" w:hAnsi="Times New Roman" w:cs="楷体" w:hint="eastAsia"/>
          <w:bCs/>
          <w:sz w:val="32"/>
          <w:szCs w:val="32"/>
        </w:rPr>
        <w:lastRenderedPageBreak/>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健全多层次社会保障体系</w:t>
      </w:r>
      <w:bookmarkEnd w:id="308"/>
      <w:bookmarkEnd w:id="309"/>
      <w:bookmarkEnd w:id="310"/>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FF0000"/>
          <w:sz w:val="30"/>
          <w:szCs w:val="30"/>
        </w:rPr>
      </w:pPr>
      <w:r>
        <w:rPr>
          <w:rFonts w:ascii="Times New Roman" w:eastAsia="仿宋" w:hAnsi="Times New Roman" w:cs="仿宋" w:hint="eastAsia"/>
          <w:bCs/>
          <w:color w:val="000000" w:themeColor="text1"/>
          <w:sz w:val="30"/>
          <w:szCs w:val="30"/>
        </w:rPr>
        <w:t>推进社会保障提质扩面。健全覆盖全民、统筹城乡、公平统一、可持续的多层次社会保障体系。实施全民参保计划，完善基本养老、基本医疗保险筹资和待遇水平好调整机制，稳步做好退休职工养老金和城乡居民基础养老金调整工作。促进和引导各类参保单位和符合条件的人员长期持续参保，实现养老保险、工伤保险、医疗保险法定人员覆盖率达到</w:t>
      </w:r>
      <w:r>
        <w:rPr>
          <w:rFonts w:ascii="Times New Roman" w:eastAsia="仿宋" w:hAnsi="Times New Roman" w:cs="仿宋" w:hint="eastAsia"/>
          <w:bCs/>
          <w:color w:val="000000" w:themeColor="text1"/>
          <w:sz w:val="30"/>
          <w:szCs w:val="30"/>
        </w:rPr>
        <w:t>90%</w:t>
      </w:r>
      <w:r>
        <w:rPr>
          <w:rFonts w:ascii="Times New Roman" w:eastAsia="仿宋" w:hAnsi="Times New Roman" w:cs="仿宋" w:hint="eastAsia"/>
          <w:bCs/>
          <w:color w:val="000000" w:themeColor="text1"/>
          <w:sz w:val="30"/>
          <w:szCs w:val="30"/>
        </w:rPr>
        <w:t>以上。健全重特大疾病医疗保险和救助制度，强化基本医疗保险、大病保险与医疗救助三重保障功能。加强社会保障基金安全管理，健全社会保险违法失信联合惩戒机制。落实医保目录动态调整及国家组织药品和医用耗材集中带量采购。完善异地就医直接结算服务，稳步推进长期护理保险制度，加快发展商业健康保险。健全适合新就业形态灵活就业人员劳动用工特点的参保缴费政策和制度体系。完善社会保险转移接续政策，建立更加便捷的社会保险转移接续机制。探索建立低保边缘家庭社会救助制度。</w:t>
      </w:r>
      <w:r>
        <w:rPr>
          <w:rFonts w:ascii="Times New Roman" w:eastAsia="仿宋" w:hAnsi="Times New Roman" w:cs="仿宋" w:hint="eastAsia"/>
          <w:bCs/>
          <w:sz w:val="30"/>
          <w:szCs w:val="30"/>
        </w:rPr>
        <w:t>健全退役军人服务保障体系，统筹规划建设荣誉军人休养院、优抚医院、光荣院及军休所改造和烈士纪念设施二期、国防教育公园、军人公墓等项目。</w:t>
      </w:r>
      <w:r>
        <w:rPr>
          <w:rFonts w:ascii="Times New Roman" w:eastAsia="仿宋" w:hAnsi="Times New Roman" w:cs="仿宋" w:hint="eastAsia"/>
          <w:bCs/>
          <w:color w:val="000000" w:themeColor="text1"/>
          <w:sz w:val="30"/>
          <w:szCs w:val="30"/>
        </w:rPr>
        <w:t>落实渐进式延迟法定退休年龄政策。</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健全分层分类的社会救助体系。构建以最低生活保障、特困人员救助供养等基本生活救助为基础，进一步完善红十字会系统，以教育救助、医疗救助、住房救助、就业救助、法律援助、司法救助、康复救助等专项救助为主体，以慈善组织等社会力量参与救助为补</w:t>
      </w:r>
      <w:r>
        <w:rPr>
          <w:rFonts w:ascii="Times New Roman" w:eastAsia="仿宋" w:hAnsi="Times New Roman" w:cs="仿宋" w:hint="eastAsia"/>
          <w:bCs/>
          <w:color w:val="000000" w:themeColor="text1"/>
          <w:sz w:val="30"/>
          <w:szCs w:val="30"/>
        </w:rPr>
        <w:lastRenderedPageBreak/>
        <w:t>充的社会救助制度体系，增强社会救助的及时性、有效性，提高社会救助标准，努力实现“困有所助”。</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持续改善群众居住条件。稳步推进棚户区改造，积极推进老旧小区和危房搬迁改造，不断完善物业管理和服务。加快建立多元化住房保障体系，加强房地产行业管理和遗留问题整治，采取以市场为主的多主体供给和以政府为主的多渠道保障的方式，加大住房供给力度，更好满足居民多层次的住房需求。</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311" w:name="_Toc16360"/>
      <w:bookmarkStart w:id="312" w:name="_Toc12632"/>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313" w:name="_Toc11013"/>
      <w:r>
        <w:rPr>
          <w:rFonts w:ascii="Times New Roman" w:eastAsia="楷体" w:hAnsi="Times New Roman" w:cs="楷体" w:hint="eastAsia"/>
          <w:bCs/>
          <w:sz w:val="32"/>
          <w:szCs w:val="32"/>
        </w:rPr>
        <w:t>第三节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促进人口均衡发展</w:t>
      </w:r>
      <w:bookmarkEnd w:id="311"/>
      <w:bookmarkEnd w:id="312"/>
      <w:bookmarkEnd w:id="313"/>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kern w:val="0"/>
          <w:sz w:val="30"/>
          <w:szCs w:val="30"/>
          <w:lang w:val="zh-CN"/>
        </w:rPr>
      </w:pPr>
      <w:r>
        <w:rPr>
          <w:rFonts w:ascii="Times New Roman" w:eastAsia="仿宋" w:hAnsi="Times New Roman" w:cs="仿宋" w:hint="eastAsia"/>
          <w:bCs/>
          <w:color w:val="000000" w:themeColor="text1"/>
          <w:sz w:val="30"/>
          <w:szCs w:val="30"/>
        </w:rPr>
        <w:t>全面提高人口素质。</w:t>
      </w:r>
      <w:r>
        <w:rPr>
          <w:rFonts w:ascii="Times New Roman" w:eastAsia="仿宋" w:hAnsi="Times New Roman" w:cs="仿宋" w:hint="eastAsia"/>
          <w:bCs/>
          <w:kern w:val="0"/>
          <w:sz w:val="30"/>
          <w:szCs w:val="30"/>
          <w:lang w:val="zh-CN"/>
        </w:rPr>
        <w:t>推进实施生育政策，优化人口结构。有序放宽部分户籍准入条件，合理满足符合条件的转移人口落户需求，重点吸引高校毕业生、技术人才、创新人才、创业人才等高素质人才落户乌海，全面提升人口发展水平。着力</w:t>
      </w:r>
      <w:r>
        <w:rPr>
          <w:rFonts w:ascii="Times New Roman" w:eastAsia="仿宋" w:hAnsi="Times New Roman" w:cs="仿宋" w:hint="eastAsia"/>
          <w:bCs/>
          <w:color w:val="000000" w:themeColor="text1"/>
          <w:sz w:val="30"/>
          <w:szCs w:val="30"/>
        </w:rPr>
        <w:t>推进教育资源均等化，加强法治建设，</w:t>
      </w:r>
      <w:r>
        <w:rPr>
          <w:rFonts w:ascii="Times New Roman" w:eastAsia="仿宋" w:hAnsi="Times New Roman" w:cs="仿宋" w:hint="eastAsia"/>
          <w:bCs/>
          <w:kern w:val="0"/>
          <w:sz w:val="30"/>
          <w:szCs w:val="30"/>
          <w:lang w:val="zh-CN"/>
        </w:rPr>
        <w:t>大力弘扬</w:t>
      </w:r>
      <w:r>
        <w:rPr>
          <w:rFonts w:ascii="Times New Roman" w:eastAsia="仿宋" w:hAnsi="Times New Roman" w:cs="仿宋" w:hint="eastAsia"/>
          <w:bCs/>
          <w:color w:val="000000" w:themeColor="text1"/>
          <w:sz w:val="30"/>
          <w:szCs w:val="30"/>
        </w:rPr>
        <w:t>社会主义核心价值观，</w:t>
      </w:r>
      <w:r>
        <w:rPr>
          <w:rFonts w:ascii="Times New Roman" w:eastAsia="仿宋" w:hAnsi="Times New Roman" w:cs="仿宋" w:hint="eastAsia"/>
          <w:bCs/>
          <w:kern w:val="0"/>
          <w:sz w:val="30"/>
          <w:szCs w:val="30"/>
          <w:lang w:val="zh-CN"/>
        </w:rPr>
        <w:t>全面提高人口体能健康素质、智能科教素质、精神文明素质。加大科学普及工作力度，努力提高全民科学素质。</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保障妇女儿童和残疾人合法权益。消除性别歧视，实行同工同酬，积极落实女职工劳动保护规定，预防和制止家庭暴力，进一步促进妇女全面发展。关爱和帮助孤儿、病残儿童、流浪儿童、留守儿童等困难儿童群体，着力解决农区留守儿童和进城务工人员子女的学习、生活问题，优先保障儿童健康快乐成长。加快制定托育服</w:t>
      </w:r>
      <w:r>
        <w:rPr>
          <w:rFonts w:ascii="Times New Roman" w:eastAsia="仿宋" w:hAnsi="Times New Roman" w:cs="仿宋" w:hint="eastAsia"/>
          <w:bCs/>
          <w:color w:val="000000" w:themeColor="text1"/>
          <w:sz w:val="30"/>
          <w:szCs w:val="30"/>
        </w:rPr>
        <w:lastRenderedPageBreak/>
        <w:t>务机构准入标准和管理规范，鼓励和支持多元共建托育服务机构，优先支持普惠型托育服务。以信息化建设为重点，完善残疾人社会保障政策，加强残疾人基础服务设施建设和运行管理，引导社会力量开展助残服务，促进残疾人事业发展主体多元化，为残疾人提供均等化、普惠化、便利化的基本公共服务。</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积极应对人口老龄化。推进居家社区机构相协调、医养康养相结合的多层次养老服务体系建设，多渠道、多领域扩大适老产品和服务供给，提升产品和服务质量。合理规划布局，加快社区适老化改造。鼓励社会资本参与养老机构和社区养老服务设施的建设运营，建立保险、福利和救助相衔接的长期照护保障制度。加大对经济困难的高龄、失能老人长期照护力度，继续实施高龄老年人补贴、老年人意外伤害保险、失能老人长期护理保险和政府购买特殊困难老年人居家养老服务。提高老年服务科技化、信息化水平，加强老年辅助技术应用。优化应对人口老龄化的法治环境，保障老年人合法权益，构建养老、孝老、敬老的良好社会环境。</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pacing w:val="-6"/>
          <w:sz w:val="30"/>
          <w:szCs w:val="30"/>
        </w:rPr>
      </w:pPr>
      <w:r>
        <w:rPr>
          <w:rFonts w:ascii="Times New Roman" w:eastAsia="仿宋" w:hAnsi="Times New Roman" w:cs="仿宋" w:hint="eastAsia"/>
          <w:bCs/>
          <w:color w:val="000000" w:themeColor="text1"/>
          <w:sz w:val="30"/>
          <w:szCs w:val="30"/>
        </w:rPr>
        <w:t>促进青年全面发展。</w:t>
      </w:r>
      <w:r>
        <w:rPr>
          <w:rFonts w:ascii="Times New Roman" w:eastAsia="仿宋" w:hAnsi="Times New Roman" w:cs="仿宋" w:hint="eastAsia"/>
          <w:bCs/>
          <w:sz w:val="30"/>
          <w:szCs w:val="30"/>
        </w:rPr>
        <w:t>践行党管青年原则，加强青年理想信念教育，深入实施青年马克思主义者培养工程，广泛开展青年大学习行动。加强青年婚恋观、家庭观教育和引导。完善青年创业就</w:t>
      </w:r>
      <w:r>
        <w:rPr>
          <w:rFonts w:ascii="Times New Roman" w:eastAsia="仿宋" w:hAnsi="Times New Roman" w:cs="仿宋" w:hint="eastAsia"/>
          <w:bCs/>
          <w:spacing w:val="-6"/>
          <w:sz w:val="30"/>
          <w:szCs w:val="30"/>
        </w:rPr>
        <w:t>业政策支持体系，加强青年就业服务，推动青年投身创新创业实践。加强对困难青年群体、进城务工青年及其未成年子女等群体的关爱和权益维护。加强青年诚信体系建设，引导青年有序参与政治生活和社会公共事务，提升青年思想政治素养和全面发展水平。</w:t>
      </w:r>
    </w:p>
    <w:p w:rsidR="001328A6" w:rsidRDefault="007F3236">
      <w:pPr>
        <w:pBdr>
          <w:top w:val="none" w:sz="0" w:space="1" w:color="auto"/>
          <w:left w:val="none" w:sz="0" w:space="4" w:color="auto"/>
          <w:bottom w:val="none" w:sz="0" w:space="1" w:color="auto"/>
          <w:right w:val="none" w:sz="0" w:space="4" w:color="auto"/>
        </w:pBdr>
        <w:overflowPunct w:val="0"/>
        <w:spacing w:line="558" w:lineRule="exact"/>
        <w:jc w:val="center"/>
        <w:outlineLvl w:val="1"/>
        <w:rPr>
          <w:rFonts w:ascii="Times New Roman" w:eastAsia="黑体" w:hAnsi="Times New Roman" w:cs="黑体"/>
          <w:bCs/>
          <w:sz w:val="32"/>
          <w:szCs w:val="32"/>
        </w:rPr>
      </w:pPr>
      <w:bookmarkStart w:id="314" w:name="_Toc7641"/>
      <w:bookmarkStart w:id="315" w:name="_Toc18921"/>
      <w:r>
        <w:rPr>
          <w:rFonts w:ascii="Times New Roman" w:eastAsia="黑体" w:hAnsi="Times New Roman" w:cs="黑体" w:hint="eastAsia"/>
          <w:bCs/>
          <w:sz w:val="32"/>
          <w:szCs w:val="32"/>
        </w:rPr>
        <w:lastRenderedPageBreak/>
        <w:t>第二十二章</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突出抓好教育医疗事业</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增加优质服务供给</w:t>
      </w:r>
      <w:bookmarkEnd w:id="314"/>
      <w:bookmarkEnd w:id="315"/>
    </w:p>
    <w:p w:rsidR="001328A6" w:rsidRDefault="001328A6">
      <w:pPr>
        <w:overflowPunct w:val="0"/>
        <w:spacing w:line="580" w:lineRule="exact"/>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bookmarkStart w:id="316" w:name="_Toc3721"/>
      <w:r>
        <w:rPr>
          <w:rFonts w:ascii="Times New Roman" w:eastAsia="仿宋" w:hAnsi="Times New Roman" w:cs="仿宋" w:hint="eastAsia"/>
          <w:bCs/>
          <w:color w:val="000000" w:themeColor="text1"/>
          <w:sz w:val="30"/>
          <w:szCs w:val="30"/>
        </w:rPr>
        <w:t>深化教育领域综合改革，围绕学前教育资源供给、义务教育优质均衡、高中教育特色多样化、职业教育适应需求等重点工作，分类施策、多点发力，着力构建优质均衡的基本公共教育服务体系。把保障人民健康放在优先发展的战略位置，开展健康乌海行动，优化医疗卫生资源布局，推动优质资源扩容下沉，提升突发公共卫生事件监测预警和处理能力。</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317" w:name="_Toc32260"/>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318" w:name="_Toc11045"/>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推进教育现代化</w:t>
      </w:r>
      <w:bookmarkEnd w:id="316"/>
      <w:bookmarkEnd w:id="317"/>
      <w:bookmarkEnd w:id="318"/>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完善高质量教育体系。落实立德树人根本任务，推动新时代教育评价改革。加强师德师风建设，构建良好教育生态。加强德育、智育、体育、美育、劳动教育和心理健康教育，统筹推进大中小学思政课一体化建设，健全完善社会、学校、家庭、政府协同育人机制，促进学生全面发展。</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努力办好人民满意教育。多渠道增加优质</w:t>
      </w:r>
      <w:r>
        <w:rPr>
          <w:rFonts w:ascii="Times New Roman" w:eastAsia="仿宋" w:hAnsi="Times New Roman" w:cs="仿宋" w:hint="eastAsia"/>
          <w:bCs/>
          <w:sz w:val="30"/>
          <w:szCs w:val="30"/>
        </w:rPr>
        <w:t>学前教育资源</w:t>
      </w:r>
      <w:r>
        <w:rPr>
          <w:rFonts w:ascii="Times New Roman" w:eastAsia="仿宋" w:hAnsi="Times New Roman" w:cs="仿宋" w:hint="eastAsia"/>
          <w:bCs/>
          <w:color w:val="000000" w:themeColor="text1"/>
          <w:sz w:val="30"/>
          <w:szCs w:val="30"/>
        </w:rPr>
        <w:t>供给，发展公办幼儿园，扶持普惠性民办幼儿园。推进义务教育优质均衡发展，合理配置教育资源，缩小城乡教育资源差距，促进教育公平。</w:t>
      </w:r>
      <w:r>
        <w:rPr>
          <w:rFonts w:ascii="Times New Roman" w:eastAsia="仿宋" w:hAnsi="Times New Roman" w:cs="仿宋" w:hint="eastAsia"/>
          <w:bCs/>
          <w:sz w:val="30"/>
          <w:szCs w:val="30"/>
        </w:rPr>
        <w:t>对接新高考改革，实施公办普通高中学生全寄宿制管理，推动普通高中教育多样化发展。实施职业教育“双高计划”，加快职业教育社会多元参与，推动乌海职业技术学院成为应用型本科院校，引进</w:t>
      </w:r>
      <w:r>
        <w:rPr>
          <w:rFonts w:ascii="Times New Roman" w:eastAsia="仿宋" w:hAnsi="Times New Roman" w:cs="仿宋" w:hint="eastAsia"/>
          <w:bCs/>
          <w:sz w:val="30"/>
          <w:szCs w:val="30"/>
        </w:rPr>
        <w:lastRenderedPageBreak/>
        <w:t>有实力的社会资本投资参与高等院校、职业院校建设。深化校企合作、产教融合，打造区域性“蓝领洼地”和技能型人才输出“高地”，构建教育和产业深度融合发展格局。提高民族教育</w:t>
      </w:r>
      <w:r>
        <w:rPr>
          <w:rFonts w:ascii="Times New Roman" w:eastAsia="仿宋" w:hAnsi="Times New Roman" w:cs="仿宋" w:hint="eastAsia"/>
          <w:bCs/>
          <w:spacing w:val="-6"/>
          <w:sz w:val="30"/>
          <w:szCs w:val="30"/>
        </w:rPr>
        <w:t>质量和水平，健全民族教育保障机制，大力推广国家通用语言文字，深化双语教学改革，推行使用国家统编三科教材。推进特殊教育提升行动，探索特殊教</w:t>
      </w:r>
      <w:r>
        <w:rPr>
          <w:rFonts w:ascii="Times New Roman" w:eastAsia="仿宋" w:hAnsi="Times New Roman" w:cs="仿宋" w:hint="eastAsia"/>
          <w:bCs/>
          <w:color w:val="000000" w:themeColor="text1"/>
          <w:spacing w:val="-6"/>
          <w:sz w:val="30"/>
          <w:szCs w:val="30"/>
        </w:rPr>
        <w:t>育与普通教育融合的发展机制。支持和规范民办教育发展，规范校外培训机构。积极发展多种形式的继续教育，满足个人多层次、多样化的学习和发展需要。发挥在线教育优势，完善终身学习体系，建设学习型社会。</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大力提升教育教学质量。深化教育教学改革，积极争取</w:t>
      </w:r>
      <w:r>
        <w:rPr>
          <w:rFonts w:ascii="Times New Roman" w:eastAsia="仿宋" w:hAnsi="Times New Roman" w:cs="仿宋" w:hint="eastAsia"/>
          <w:bCs/>
          <w:color w:val="000000"/>
          <w:sz w:val="30"/>
          <w:szCs w:val="30"/>
        </w:rPr>
        <w:t>自治区教育厅</w:t>
      </w:r>
      <w:r>
        <w:rPr>
          <w:rFonts w:ascii="Times New Roman" w:eastAsia="仿宋" w:hAnsi="Times New Roman" w:cs="仿宋" w:hint="eastAsia"/>
          <w:bCs/>
          <w:color w:val="000000" w:themeColor="text1"/>
          <w:sz w:val="30"/>
          <w:szCs w:val="30"/>
        </w:rPr>
        <w:t>将乌海</w:t>
      </w:r>
      <w:r>
        <w:rPr>
          <w:rFonts w:ascii="Times New Roman" w:eastAsia="仿宋" w:hAnsi="Times New Roman" w:cs="仿宋" w:hint="eastAsia"/>
          <w:bCs/>
          <w:color w:val="000000"/>
          <w:sz w:val="30"/>
          <w:szCs w:val="30"/>
        </w:rPr>
        <w:t>确定为推动教育改革发展的先行试点和示范地区。</w:t>
      </w:r>
      <w:r>
        <w:rPr>
          <w:rFonts w:ascii="Times New Roman" w:eastAsia="仿宋" w:hAnsi="Times New Roman" w:cs="仿宋" w:hint="eastAsia"/>
          <w:bCs/>
          <w:color w:val="000000" w:themeColor="text1"/>
          <w:sz w:val="30"/>
          <w:szCs w:val="30"/>
        </w:rPr>
        <w:t>有效落实国家课程标准，积极构建重基础、多样化、有层次、综合性的课程结构，满足学生差异化发展和个性化需求。创新课堂教学模式，狠抓教学常规，常态化开展中小学教学质量监测结果分析及成果应用。多渠道选拔、培养和引进一批名校长、名师，采取“引、用、育、管、留”等措施优化教师队伍结构，加快高素质、专业化教师队伍建设。加强教育信息化建设，推进信息技术与教育教学融合创新，促进优质教育资源共享。</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_GB2312" w:hAnsi="Times New Roman" w:cs="Times New Roman"/>
          <w:bCs/>
          <w:color w:val="000000" w:themeColor="text1"/>
          <w:sz w:val="32"/>
          <w:szCs w:val="32"/>
        </w:rPr>
      </w:pPr>
      <w:r>
        <w:rPr>
          <w:rFonts w:ascii="Times New Roman" w:eastAsia="仿宋" w:hAnsi="Times New Roman" w:cs="仿宋" w:hint="eastAsia"/>
          <w:bCs/>
          <w:color w:val="000000" w:themeColor="text1"/>
          <w:sz w:val="30"/>
          <w:szCs w:val="30"/>
        </w:rPr>
        <w:t>完善教育基础设施。全面落实教育优先发展战略，持续增加教育支出在财政支出中的比例。实施办学条件提质工程，加大教育公共基础设施投入力度，抓好校安工程消防验收、校舍维修改造、教学设施设备老化更新等补短板项目建设，促进办学条件提档升级。加强教育信息化基础设施建设，推动智慧课堂、智慧校园全覆盖，</w:t>
      </w:r>
      <w:r>
        <w:rPr>
          <w:rFonts w:ascii="Times New Roman" w:eastAsia="仿宋" w:hAnsi="Times New Roman" w:cs="仿宋" w:hint="eastAsia"/>
          <w:bCs/>
          <w:color w:val="000000" w:themeColor="text1"/>
          <w:sz w:val="30"/>
          <w:szCs w:val="30"/>
        </w:rPr>
        <w:lastRenderedPageBreak/>
        <w:t>建成比较完善的网络学习空间和终身学习平台，促进教育资源供给再优化。</w:t>
      </w:r>
    </w:p>
    <w:p w:rsidR="001328A6" w:rsidRDefault="001328A6">
      <w:pPr>
        <w:pStyle w:val="a0"/>
        <w:spacing w:before="0" w:after="0" w:line="240" w:lineRule="exact"/>
        <w:rPr>
          <w:rFonts w:ascii="Times New Roman" w:hAnsi="Times New Roman"/>
        </w:rPr>
      </w:pPr>
    </w:p>
    <w:tbl>
      <w:tblPr>
        <w:tblStyle w:val="ae"/>
        <w:tblW w:w="8522" w:type="dxa"/>
        <w:jc w:val="center"/>
        <w:tblLayout w:type="fixed"/>
        <w:tblLook w:val="04A0"/>
      </w:tblPr>
      <w:tblGrid>
        <w:gridCol w:w="8522"/>
      </w:tblGrid>
      <w:tr w:rsidR="001328A6">
        <w:trPr>
          <w:trHeight w:val="510"/>
          <w:jc w:val="center"/>
        </w:trPr>
        <w:tc>
          <w:tcPr>
            <w:tcW w:w="8522" w:type="dxa"/>
          </w:tcPr>
          <w:p w:rsidR="001328A6" w:rsidRDefault="007F3236">
            <w:pPr>
              <w:pBdr>
                <w:top w:val="none" w:sz="0" w:space="1" w:color="auto"/>
                <w:left w:val="none" w:sz="0" w:space="4" w:color="auto"/>
                <w:bottom w:val="none" w:sz="0" w:space="1" w:color="auto"/>
                <w:right w:val="none" w:sz="0" w:space="4" w:color="auto"/>
              </w:pBdr>
              <w:overflowPunct w:val="0"/>
              <w:spacing w:line="480" w:lineRule="exact"/>
              <w:jc w:val="center"/>
              <w:rPr>
                <w:rFonts w:ascii="Times New Roman" w:eastAsia="宋体" w:hAnsi="Times New Roman" w:cs="Times New Roman"/>
                <w:bCs/>
                <w:color w:val="000000" w:themeColor="text1"/>
                <w:sz w:val="24"/>
                <w:szCs w:val="24"/>
              </w:rPr>
            </w:pPr>
            <w:r>
              <w:rPr>
                <w:rFonts w:ascii="Times New Roman" w:hAnsi="Times New Roman" w:cstheme="minorEastAsia" w:hint="eastAsia"/>
                <w:b/>
                <w:color w:val="000000" w:themeColor="text1"/>
                <w:sz w:val="24"/>
                <w:szCs w:val="24"/>
              </w:rPr>
              <w:t>专栏</w:t>
            </w:r>
            <w:r>
              <w:rPr>
                <w:rFonts w:ascii="Times New Roman" w:hAnsi="Times New Roman" w:cstheme="minorEastAsia" w:hint="eastAsia"/>
                <w:b/>
                <w:color w:val="000000" w:themeColor="text1"/>
                <w:sz w:val="24"/>
                <w:szCs w:val="24"/>
              </w:rPr>
              <w:t xml:space="preserve">12  </w:t>
            </w:r>
            <w:r>
              <w:rPr>
                <w:rFonts w:ascii="Times New Roman" w:hAnsi="Times New Roman" w:cstheme="minorEastAsia" w:hint="eastAsia"/>
                <w:b/>
                <w:kern w:val="0"/>
                <w:sz w:val="24"/>
                <w:szCs w:val="24"/>
              </w:rPr>
              <w:t>教育补短板强弱项重点工程</w:t>
            </w:r>
          </w:p>
        </w:tc>
      </w:tr>
      <w:tr w:rsidR="001328A6">
        <w:trPr>
          <w:trHeight w:val="777"/>
          <w:jc w:val="center"/>
        </w:trPr>
        <w:tc>
          <w:tcPr>
            <w:tcW w:w="8522" w:type="dxa"/>
          </w:tcPr>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hAnsi="Times New Roman" w:cs="Times New Roman"/>
                <w:bCs/>
                <w:kern w:val="0"/>
                <w:sz w:val="24"/>
                <w:szCs w:val="24"/>
              </w:rPr>
            </w:pPr>
            <w:r>
              <w:rPr>
                <w:rFonts w:ascii="Times New Roman" w:hAnsi="Times New Roman" w:cs="Times New Roman"/>
                <w:bCs/>
                <w:kern w:val="0"/>
                <w:sz w:val="24"/>
                <w:szCs w:val="24"/>
              </w:rPr>
              <w:t>改造提升现有学校基础设施，推动九年一贯制学校和寄宿制学校建设，在重点区域增加教育资源供给，持续提升教育教学质量。促进产教深度融合，实施职业技术教育基础设施完善工程。</w:t>
            </w:r>
          </w:p>
        </w:tc>
      </w:tr>
    </w:tbl>
    <w:p w:rsidR="001328A6" w:rsidRDefault="001328A6">
      <w:pPr>
        <w:pBdr>
          <w:top w:val="none" w:sz="0" w:space="1" w:color="auto"/>
          <w:left w:val="none" w:sz="0" w:space="4" w:color="auto"/>
          <w:bottom w:val="none" w:sz="0" w:space="1" w:color="auto"/>
          <w:right w:val="none" w:sz="0" w:space="4" w:color="auto"/>
        </w:pBdr>
        <w:overflowPunct w:val="0"/>
        <w:spacing w:line="558" w:lineRule="exact"/>
        <w:jc w:val="center"/>
        <w:rPr>
          <w:rFonts w:ascii="Times New Roman" w:eastAsia="楷体_GB2312" w:hAnsi="Times New Roman" w:cs="Times New Roman"/>
          <w:bCs/>
          <w:sz w:val="32"/>
          <w:szCs w:val="32"/>
        </w:rPr>
      </w:pPr>
      <w:bookmarkStart w:id="319" w:name="_Toc13924"/>
      <w:bookmarkStart w:id="320" w:name="_Toc24043"/>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321" w:name="_Toc3310"/>
      <w:r>
        <w:rPr>
          <w:rFonts w:ascii="Times New Roman" w:eastAsia="楷体" w:hAnsi="Times New Roman" w:cs="楷体"/>
          <w:bCs/>
          <w:sz w:val="32"/>
          <w:szCs w:val="32"/>
        </w:rPr>
        <w:t>第二节</w:t>
      </w:r>
      <w:r>
        <w:rPr>
          <w:rFonts w:ascii="Times New Roman" w:eastAsia="楷体" w:hAnsi="Times New Roman" w:cs="楷体"/>
          <w:bCs/>
          <w:sz w:val="32"/>
          <w:szCs w:val="32"/>
        </w:rPr>
        <w:t xml:space="preserve"> </w:t>
      </w:r>
      <w:r>
        <w:rPr>
          <w:rFonts w:ascii="Times New Roman" w:eastAsia="楷体" w:hAnsi="Times New Roman" w:cs="楷体"/>
          <w:bCs/>
          <w:sz w:val="32"/>
          <w:szCs w:val="32"/>
        </w:rPr>
        <w:t>加快健康乌海建设</w:t>
      </w:r>
      <w:bookmarkEnd w:id="319"/>
      <w:bookmarkEnd w:id="320"/>
      <w:bookmarkEnd w:id="321"/>
    </w:p>
    <w:p w:rsidR="001328A6" w:rsidRDefault="001328A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完善基本公共卫生体系。坚持预防为主方针，完善健康促进政策，建立覆盖全生命周期、内涵丰富、结构合理的健康服务供给体系。优化医疗资源布局，建立稳定的公共卫生事业投入机制，健全基层医疗卫生服务网络，推进优质医疗资源向基层延伸、向农区覆盖、向生活困难群众倾斜。坚持“人才强卫”，深化人才使用机制改革，建立基层人才队伍保障机制。增加优质医疗服务供给，实施名院、名科、名医工程，全面提升医疗服务质量。</w:t>
      </w: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促进蒙医药中医药传承创新发展。提高蒙医中医医院临床服务能力和机构运行效率，提升蒙中医药服务能力，发挥蒙中医药在“治未病”中的主导作用，不断完善集预防、治疗、康复、养生保健为一体的蒙中医药预防治疗保健服务模式。加强蒙医经典药方传承、保护和创新，充分挖掘满巴拉僧蒙医药文化、技术和工艺，打造区域蒙中医药服务示范区。</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lastRenderedPageBreak/>
        <w:t>深化医药卫生体制改革。深化公立医院综合改革，完善现代医院管理制度，健全分级诊疗和基本药物制度，建立规范高效的运行机制。建立健全以公益性为导向的绩效考评和综合监管机制，开展薪酬制度改革试点，探索建立符合医疗行业特点的薪酬制度，激发公立医院发展的内生动力。</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强化公共卫生防控救治能力建设。深化疾病预防控制体系改革，形成全过程全覆盖的疾病防控立体化网络。推进卫生应急体系规范化建设，完善重大突发公共卫生事件卫生应急准备，不断提高卫生应急处置能力和管理水平。加强专业公共卫生机构基础设施建设，提高综合医院感染性疾病科、传染病病区标准化水平，提升疫情发现处置能力。建设可转换病区，提高重大疫情救治转换能力。统筹推进基层医疗卫生机构重大疫情防控能力建设，构建分级分层分流</w:t>
      </w:r>
      <w:r>
        <w:rPr>
          <w:rFonts w:ascii="Times New Roman" w:eastAsia="仿宋" w:hAnsi="Times New Roman" w:cs="仿宋" w:hint="eastAsia"/>
          <w:bCs/>
          <w:color w:val="000000" w:themeColor="text1"/>
          <w:spacing w:val="-6"/>
          <w:sz w:val="30"/>
          <w:szCs w:val="30"/>
        </w:rPr>
        <w:t>的传染病救治网络。按照“平战结合”导向，做好重要医疗物资储备。</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完善医疗服务体系。加强市、区医院专科服务能力建设，分区分类打造区域医疗中心，切实做好精神卫生工作。提高基层卫生全科服务能力，发展社区试点医院。加强重特大突发事件的紧急医学救援，建立灵活高效的救援机制，提升医疗应急救援能力。建立健全职业病、地方病防治制度，依法落实职业病防控措施，加强作业场所职业病危害因素监测、评价和控制，降低和减少职业性危害和职业病发生。加快完善相关政策，大力推动婴幼儿照护服务发展，优先支持普惠性婴幼儿照护服务机构建设。</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推进卫生健康信息化建设。完善全民健康信息系统，加快全民</w:t>
      </w:r>
      <w:r>
        <w:rPr>
          <w:rFonts w:ascii="Times New Roman" w:eastAsia="仿宋" w:hAnsi="Times New Roman" w:cs="仿宋" w:hint="eastAsia"/>
          <w:bCs/>
          <w:color w:val="000000" w:themeColor="text1"/>
          <w:sz w:val="30"/>
          <w:szCs w:val="30"/>
        </w:rPr>
        <w:lastRenderedPageBreak/>
        <w:t>健康信息平台建设，建立全市居民电子健康卡身份认证体系和服务网络。推进“智慧医疗”建设，健全“互联网</w:t>
      </w:r>
      <w:r>
        <w:rPr>
          <w:rFonts w:ascii="Times New Roman" w:eastAsia="仿宋" w:hAnsi="Times New Roman" w:cs="仿宋" w:hint="eastAsia"/>
          <w:bCs/>
          <w:color w:val="000000" w:themeColor="text1"/>
          <w:sz w:val="30"/>
          <w:szCs w:val="30"/>
        </w:rPr>
        <w:t>+</w:t>
      </w:r>
      <w:r>
        <w:rPr>
          <w:rFonts w:ascii="Times New Roman" w:eastAsia="仿宋" w:hAnsi="Times New Roman" w:cs="仿宋" w:hint="eastAsia"/>
          <w:bCs/>
          <w:color w:val="000000" w:themeColor="text1"/>
          <w:sz w:val="30"/>
          <w:szCs w:val="30"/>
        </w:rPr>
        <w:t>健康医疗”服务体系，推进“云诊室”等互联网医疗项目实施。推进公立医院信息平台建设，全面推行实名制预约诊疗服务。</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倡导健康生活方式。深入开展爱国卫生运动，巩固国家卫生城市创建成果，以卫生村镇、单位创建为抓手，推进城乡环境整治，完善公共卫生设施，广泛宣传普及健康卫生常识，提升个人健康意识和行为能力，推动疾病治疗向健康管理转变，形成文明健康、绿色环保的生活方式。</w:t>
      </w:r>
    </w:p>
    <w:p w:rsidR="001328A6" w:rsidRDefault="001328A6">
      <w:pPr>
        <w:pStyle w:val="a0"/>
        <w:spacing w:before="0" w:after="0" w:line="240" w:lineRule="exact"/>
        <w:rPr>
          <w:rFonts w:ascii="Times New Roman" w:hAnsi="Times New Roman"/>
        </w:rPr>
      </w:pPr>
    </w:p>
    <w:tbl>
      <w:tblPr>
        <w:tblStyle w:val="ae"/>
        <w:tblW w:w="8522" w:type="dxa"/>
        <w:jc w:val="center"/>
        <w:tblLayout w:type="fixed"/>
        <w:tblLook w:val="04A0"/>
      </w:tblPr>
      <w:tblGrid>
        <w:gridCol w:w="8522"/>
      </w:tblGrid>
      <w:tr w:rsidR="001328A6">
        <w:trPr>
          <w:trHeight w:val="305"/>
          <w:jc w:val="center"/>
        </w:trPr>
        <w:tc>
          <w:tcPr>
            <w:tcW w:w="8522" w:type="dxa"/>
          </w:tcPr>
          <w:p w:rsidR="001328A6" w:rsidRDefault="007F3236">
            <w:pPr>
              <w:pBdr>
                <w:top w:val="none" w:sz="0" w:space="1" w:color="auto"/>
                <w:left w:val="none" w:sz="0" w:space="4" w:color="auto"/>
                <w:bottom w:val="none" w:sz="0" w:space="1" w:color="auto"/>
                <w:right w:val="none" w:sz="0" w:space="4" w:color="auto"/>
              </w:pBdr>
              <w:overflowPunct w:val="0"/>
              <w:spacing w:line="480" w:lineRule="exact"/>
              <w:jc w:val="center"/>
              <w:rPr>
                <w:rFonts w:ascii="Times New Roman" w:eastAsia="宋体" w:hAnsi="Times New Roman" w:cs="Times New Roman"/>
                <w:bCs/>
                <w:color w:val="000000" w:themeColor="text1"/>
                <w:sz w:val="28"/>
                <w:szCs w:val="28"/>
              </w:rPr>
            </w:pPr>
            <w:r>
              <w:rPr>
                <w:rFonts w:ascii="Times New Roman" w:hAnsi="Times New Roman" w:cstheme="minorEastAsia" w:hint="eastAsia"/>
                <w:b/>
                <w:color w:val="000000" w:themeColor="text1"/>
                <w:sz w:val="24"/>
                <w:szCs w:val="24"/>
              </w:rPr>
              <w:t>专栏</w:t>
            </w:r>
            <w:r>
              <w:rPr>
                <w:rFonts w:ascii="Times New Roman" w:hAnsi="Times New Roman" w:cstheme="minorEastAsia" w:hint="eastAsia"/>
                <w:b/>
                <w:color w:val="000000" w:themeColor="text1"/>
                <w:sz w:val="24"/>
                <w:szCs w:val="24"/>
              </w:rPr>
              <w:t xml:space="preserve">13  </w:t>
            </w:r>
            <w:r>
              <w:rPr>
                <w:rFonts w:ascii="Times New Roman" w:hAnsi="Times New Roman" w:cstheme="minorEastAsia" w:hint="eastAsia"/>
                <w:b/>
                <w:kern w:val="0"/>
                <w:sz w:val="24"/>
                <w:szCs w:val="24"/>
              </w:rPr>
              <w:t>健康乌海重点建设工程</w:t>
            </w:r>
          </w:p>
        </w:tc>
      </w:tr>
      <w:tr w:rsidR="001328A6">
        <w:trPr>
          <w:jc w:val="center"/>
        </w:trPr>
        <w:tc>
          <w:tcPr>
            <w:tcW w:w="8522" w:type="dxa"/>
          </w:tcPr>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hAnsi="Times New Roman" w:cs="Times New Roman"/>
                <w:bCs/>
                <w:kern w:val="0"/>
                <w:sz w:val="28"/>
                <w:szCs w:val="28"/>
              </w:rPr>
            </w:pPr>
            <w:r>
              <w:rPr>
                <w:rFonts w:ascii="Times New Roman" w:hAnsi="Times New Roman" w:cs="Times New Roman"/>
                <w:bCs/>
                <w:kern w:val="0"/>
                <w:sz w:val="24"/>
                <w:szCs w:val="24"/>
              </w:rPr>
              <w:t>加快疾病预防控制中心建设，补齐既有医疗机构感染性疾病区短板，推动职业病、传染病专科医院建设，提升社区卫生服务中心和民族医药整体水平，推进卫生健康信息化建设。增加优质医疗服务供给，全面提升医疗服务质量。</w:t>
            </w:r>
          </w:p>
        </w:tc>
      </w:tr>
    </w:tbl>
    <w:p w:rsidR="001328A6" w:rsidRDefault="007F3236">
      <w:pPr>
        <w:rPr>
          <w:rFonts w:ascii="Times New Roman" w:hAnsi="Times New Roman" w:cs="Times New Roman"/>
          <w:bCs/>
        </w:rPr>
      </w:pPr>
      <w:r>
        <w:rPr>
          <w:rFonts w:ascii="Times New Roman" w:hAnsi="Times New Roman" w:cs="Times New Roman"/>
          <w:bCs/>
        </w:rPr>
        <w:br w:type="page"/>
      </w:r>
    </w:p>
    <w:p w:rsidR="001328A6" w:rsidRDefault="007F3236">
      <w:pPr>
        <w:pBdr>
          <w:top w:val="none" w:sz="0" w:space="1" w:color="auto"/>
          <w:left w:val="none" w:sz="0" w:space="4" w:color="auto"/>
          <w:bottom w:val="none" w:sz="0" w:space="1" w:color="auto"/>
          <w:right w:val="none" w:sz="0" w:space="4" w:color="auto"/>
        </w:pBdr>
        <w:overflowPunct w:val="0"/>
        <w:spacing w:line="556" w:lineRule="exact"/>
        <w:jc w:val="center"/>
        <w:outlineLvl w:val="1"/>
        <w:rPr>
          <w:rFonts w:ascii="Times New Roman" w:eastAsia="黑体" w:hAnsi="Times New Roman" w:cs="黑体"/>
          <w:bCs/>
          <w:sz w:val="32"/>
          <w:szCs w:val="36"/>
        </w:rPr>
      </w:pPr>
      <w:bookmarkStart w:id="322" w:name="_Toc10416"/>
      <w:bookmarkStart w:id="323" w:name="_Toc22920"/>
      <w:r>
        <w:rPr>
          <w:rFonts w:ascii="Times New Roman" w:eastAsia="黑体" w:hAnsi="Times New Roman" w:cs="黑体" w:hint="eastAsia"/>
          <w:bCs/>
          <w:sz w:val="32"/>
          <w:szCs w:val="36"/>
        </w:rPr>
        <w:lastRenderedPageBreak/>
        <w:t>第二十三章</w:t>
      </w:r>
      <w:bookmarkStart w:id="324" w:name="_Toc48108460"/>
      <w:bookmarkStart w:id="325" w:name="_Toc51918042"/>
      <w:bookmarkEnd w:id="324"/>
      <w:bookmarkEnd w:id="325"/>
      <w:r>
        <w:rPr>
          <w:rFonts w:ascii="Times New Roman" w:eastAsia="黑体" w:hAnsi="Times New Roman" w:cs="黑体" w:hint="eastAsia"/>
          <w:bCs/>
          <w:sz w:val="32"/>
          <w:szCs w:val="36"/>
        </w:rPr>
        <w:t>加强思想文化宣传提高社会文明程度</w:t>
      </w:r>
      <w:bookmarkEnd w:id="322"/>
      <w:bookmarkEnd w:id="323"/>
    </w:p>
    <w:p w:rsidR="001328A6" w:rsidRDefault="001328A6">
      <w:pPr>
        <w:pStyle w:val="a0"/>
        <w:overflowPunct w:val="0"/>
        <w:spacing w:before="0" w:after="0" w:line="556" w:lineRule="exact"/>
        <w:outlineLvl w:val="9"/>
        <w:rPr>
          <w:rFonts w:ascii="Times New Roman" w:eastAsia="仿宋" w:hAnsi="Times New Roman" w:cs="仿宋"/>
          <w:b w:val="0"/>
          <w:sz w:val="30"/>
          <w:szCs w:val="30"/>
        </w:rPr>
      </w:pPr>
      <w:bookmarkStart w:id="326" w:name="_Toc51918045"/>
      <w:bookmarkStart w:id="327" w:name="_Toc48108464"/>
      <w:bookmarkStart w:id="328" w:name="_Toc48108461"/>
      <w:bookmarkStart w:id="329" w:name="_Toc51918043"/>
    </w:p>
    <w:p w:rsidR="001328A6" w:rsidRDefault="007F3236">
      <w:pPr>
        <w:pBdr>
          <w:top w:val="none" w:sz="0" w:space="1" w:color="auto"/>
          <w:left w:val="none" w:sz="0" w:space="4" w:color="auto"/>
          <w:bottom w:val="none" w:sz="0" w:space="1" w:color="auto"/>
          <w:right w:val="none" w:sz="0" w:space="4" w:color="auto"/>
        </w:pBdr>
        <w:overflowPunct w:val="0"/>
        <w:spacing w:line="556" w:lineRule="exact"/>
        <w:ind w:firstLine="645"/>
        <w:rPr>
          <w:rFonts w:ascii="Times New Roman" w:eastAsia="仿宋" w:hAnsi="Times New Roman" w:cs="仿宋"/>
          <w:bCs/>
          <w:sz w:val="30"/>
          <w:szCs w:val="30"/>
        </w:rPr>
      </w:pPr>
      <w:r>
        <w:rPr>
          <w:rFonts w:ascii="Times New Roman" w:eastAsia="仿宋" w:hAnsi="Times New Roman" w:cs="仿宋" w:hint="eastAsia"/>
          <w:bCs/>
          <w:sz w:val="30"/>
          <w:szCs w:val="30"/>
        </w:rPr>
        <w:t>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文化强市建设。</w:t>
      </w:r>
    </w:p>
    <w:p w:rsidR="001328A6" w:rsidRDefault="001328A6">
      <w:pPr>
        <w:pBdr>
          <w:top w:val="none" w:sz="0" w:space="1" w:color="auto"/>
          <w:left w:val="none" w:sz="0" w:space="4" w:color="auto"/>
          <w:bottom w:val="none" w:sz="0" w:space="1" w:color="auto"/>
          <w:right w:val="none" w:sz="0" w:space="4" w:color="auto"/>
        </w:pBdr>
        <w:overflowPunct w:val="0"/>
        <w:spacing w:line="556" w:lineRule="exact"/>
        <w:jc w:val="center"/>
        <w:rPr>
          <w:rFonts w:ascii="Times New Roman" w:eastAsia="仿宋" w:hAnsi="Times New Roman" w:cs="仿宋"/>
          <w:bCs/>
          <w:sz w:val="30"/>
          <w:szCs w:val="30"/>
        </w:rPr>
      </w:pPr>
      <w:bookmarkStart w:id="330" w:name="_Toc1505"/>
    </w:p>
    <w:p w:rsidR="001328A6" w:rsidRDefault="007F3236">
      <w:pPr>
        <w:pBdr>
          <w:top w:val="none" w:sz="0" w:space="1" w:color="auto"/>
          <w:left w:val="none" w:sz="0" w:space="4" w:color="auto"/>
          <w:bottom w:val="none" w:sz="0" w:space="1" w:color="auto"/>
          <w:right w:val="none" w:sz="0" w:space="4" w:color="auto"/>
        </w:pBdr>
        <w:overflowPunct w:val="0"/>
        <w:spacing w:line="556" w:lineRule="exact"/>
        <w:jc w:val="center"/>
        <w:outlineLvl w:val="2"/>
        <w:rPr>
          <w:rFonts w:ascii="Times New Roman" w:eastAsia="楷体" w:hAnsi="Times New Roman" w:cs="楷体"/>
          <w:bCs/>
          <w:sz w:val="32"/>
          <w:szCs w:val="32"/>
        </w:rPr>
      </w:pPr>
      <w:bookmarkStart w:id="331" w:name="_Toc22150"/>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bookmarkEnd w:id="326"/>
      <w:bookmarkEnd w:id="327"/>
      <w:r>
        <w:rPr>
          <w:rFonts w:ascii="Times New Roman" w:eastAsia="楷体" w:hAnsi="Times New Roman" w:cs="楷体" w:hint="eastAsia"/>
          <w:bCs/>
          <w:sz w:val="32"/>
          <w:szCs w:val="32"/>
        </w:rPr>
        <w:t>建设社会主义意识形态</w:t>
      </w:r>
      <w:bookmarkEnd w:id="330"/>
      <w:bookmarkEnd w:id="331"/>
    </w:p>
    <w:p w:rsidR="001328A6" w:rsidRDefault="001328A6">
      <w:pPr>
        <w:pBdr>
          <w:top w:val="none" w:sz="0" w:space="1" w:color="auto"/>
          <w:left w:val="none" w:sz="0" w:space="4" w:color="auto"/>
          <w:bottom w:val="none" w:sz="0" w:space="1" w:color="auto"/>
          <w:right w:val="none" w:sz="0" w:space="4" w:color="auto"/>
        </w:pBdr>
        <w:overflowPunct w:val="0"/>
        <w:spacing w:line="556" w:lineRule="exact"/>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6"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强化思想理论武装，深入开展习近平新时代中国特色社会主义思想学习教育，加强哲学社会科学阐释能力和传播能力建设，坚持不懈用习近平新时代中国特色社会主义思想武装全党、教育人民、推动工作。开展铸牢中华民族共同体意识宣传教育，引导干部群众树立正确国家观、历史观、民族观、文化观、宗教观。推动理想信念教育常态化、制度化，加强党史、新中国史、改革开放史、社会主义发展史教育。弘扬中华优秀传统文化、革命文化和社会主义先进文化，增强广大群众对伟大祖国、中华民族、中华文化、中国共产党、中国特色社会主义的认同。严格落实意识形态工作责任制，加强出版版权工作，深入开展“扫黄打非”。加强网络监管和网络文明建设，发展积极健康的网络文化。推进媒体深度融合，用好“学习强国”学习平台，深化区级融媒体中心改革，完成市级新闻媒体</w:t>
      </w:r>
      <w:r>
        <w:rPr>
          <w:rFonts w:ascii="Times New Roman" w:eastAsia="仿宋" w:hAnsi="Times New Roman" w:cs="仿宋" w:hint="eastAsia"/>
          <w:bCs/>
          <w:color w:val="000000" w:themeColor="text1"/>
          <w:spacing w:val="-6"/>
          <w:sz w:val="30"/>
          <w:szCs w:val="30"/>
        </w:rPr>
        <w:t>融合发展改革，不断增强新闻舆论传播力、引导力、影响力、公信力。</w:t>
      </w: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332" w:name="_Toc32510"/>
      <w:bookmarkStart w:id="333" w:name="_Toc19736"/>
      <w:r>
        <w:rPr>
          <w:rFonts w:ascii="Times New Roman" w:eastAsia="楷体" w:hAnsi="Times New Roman" w:cs="楷体" w:hint="eastAsia"/>
          <w:bCs/>
          <w:sz w:val="32"/>
          <w:szCs w:val="32"/>
        </w:rPr>
        <w:lastRenderedPageBreak/>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加强社会主义精神文明建设</w:t>
      </w:r>
      <w:bookmarkEnd w:id="332"/>
      <w:bookmarkEnd w:id="333"/>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培育践行社会主义核心价值观，使之成为全体人民的共同价值追求。加强爱国主义、集体主义、社会主义教育，弘扬党和人民在各个历史时期奋斗中形成的伟大精神。深入推进新时代公民道德建设，强化高校和企业思想政治工作，凝练弘扬乌海城市精神，加强家庭、家教、家风建设，提升未成年人思想道德建设水平。提倡艰苦奋斗、勤俭节约，开展以劳动创造幸福为主题的宣传教育活动。开展全国文明城市创建活动，市级文明社区、文明小区、文明楼道达到</w:t>
      </w:r>
      <w:r>
        <w:rPr>
          <w:rFonts w:ascii="Times New Roman" w:eastAsia="仿宋" w:hAnsi="Times New Roman" w:cs="仿宋" w:hint="eastAsia"/>
          <w:bCs/>
          <w:color w:val="000000" w:themeColor="text1"/>
          <w:sz w:val="30"/>
          <w:szCs w:val="30"/>
        </w:rPr>
        <w:t>90%</w:t>
      </w:r>
      <w:r>
        <w:rPr>
          <w:rFonts w:ascii="Times New Roman" w:eastAsia="仿宋" w:hAnsi="Times New Roman" w:cs="仿宋" w:hint="eastAsia"/>
          <w:bCs/>
          <w:color w:val="000000" w:themeColor="text1"/>
          <w:sz w:val="30"/>
          <w:szCs w:val="30"/>
        </w:rPr>
        <w:t>以上。健全志愿服务体系，持续开展包联共建等志愿服务活动。拓展新时代文明实践中心建设。深入推进诚信建设制度化，积极构建诚信社会。</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334" w:name="_Toc17930"/>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335" w:name="_Toc7925"/>
      <w:r>
        <w:rPr>
          <w:rFonts w:ascii="Times New Roman" w:eastAsia="楷体" w:hAnsi="Times New Roman" w:cs="楷体" w:hint="eastAsia"/>
          <w:bCs/>
          <w:sz w:val="32"/>
          <w:szCs w:val="32"/>
        </w:rPr>
        <w:t>第三节</w:t>
      </w:r>
      <w:r>
        <w:rPr>
          <w:rFonts w:ascii="Times New Roman" w:eastAsia="楷体" w:hAnsi="Times New Roman" w:cs="楷体" w:hint="eastAsia"/>
          <w:bCs/>
          <w:sz w:val="32"/>
          <w:szCs w:val="32"/>
        </w:rPr>
        <w:t xml:space="preserve"> </w:t>
      </w:r>
      <w:bookmarkEnd w:id="328"/>
      <w:bookmarkEnd w:id="329"/>
      <w:r>
        <w:rPr>
          <w:rFonts w:ascii="Times New Roman" w:eastAsia="楷体" w:hAnsi="Times New Roman" w:cs="楷体" w:hint="eastAsia"/>
          <w:bCs/>
          <w:sz w:val="32"/>
          <w:szCs w:val="32"/>
        </w:rPr>
        <w:t>繁荣发展文化事业</w:t>
      </w:r>
      <w:bookmarkEnd w:id="334"/>
      <w:bookmarkEnd w:id="335"/>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加强公共文化设施建设。补齐公共文化服务设施短板，加快符合国家基本公共服务标准的场馆建设，完成危旧老化公共文化服务设施改造。建设集博物馆、档案馆、群艺馆、乌兰牧骑综合厅于一体的乌海市公共文化服务中心和乌海市图书馆。全面完善档案工作体系，推进档案基础设施建设。继续实施智慧广电网络服务进村入户工程，加快市级媒体融合基础设施建设。发展数字广播技术，实现数字广播同频覆盖，建设智能化直播总控平台、智慧广电网络，</w:t>
      </w:r>
      <w:r>
        <w:rPr>
          <w:rFonts w:ascii="Times New Roman" w:eastAsia="仿宋" w:hAnsi="Times New Roman" w:cs="仿宋" w:hint="eastAsia"/>
          <w:bCs/>
          <w:color w:val="000000" w:themeColor="text1"/>
          <w:sz w:val="30"/>
          <w:szCs w:val="30"/>
        </w:rPr>
        <w:lastRenderedPageBreak/>
        <w:t>推进电视节目超高清改造和广电网络基本公共服务入户，推进应急广播体系建设。实施数字博物馆、图书馆、档案馆、美术馆、文化馆等公共文化数字化建设工程。</w:t>
      </w:r>
    </w:p>
    <w:p w:rsidR="001328A6" w:rsidRDefault="007F3236">
      <w:pPr>
        <w:pBdr>
          <w:top w:val="none" w:sz="0" w:space="1" w:color="auto"/>
          <w:left w:val="none" w:sz="0" w:space="4" w:color="auto"/>
          <w:bottom w:val="none" w:sz="0" w:space="1" w:color="auto"/>
          <w:right w:val="none" w:sz="0" w:space="4" w:color="auto"/>
        </w:pBdr>
        <w:overflowPunct w:val="0"/>
        <w:spacing w:line="554"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推进城乡公共文化服务体系一体建设。实施文化惠民工程，广泛开展形式多样、主题鲜明的群众性文化活动，扎实推进“草原书屋”“鸿雁悦读”等公共文化工程。推动实施《乌海市文学艺术精品扶持奖励办法（试行）》，提升文艺作品质量。加强现实题材创作生产，不断推出反映时代新气象、讴歌人民新创造的文艺精品。推出乌海特色文化演艺剧目，打造特色文化演艺产品，鼓励和扶持群众文艺团体创作、展演。大力推进乌兰牧骑事业发展。加强乌海地区民族融合发展史研究。持续提升“中国书法城</w:t>
      </w:r>
      <w:r>
        <w:rPr>
          <w:rFonts w:ascii="Times New Roman" w:eastAsia="仿宋" w:hAnsi="Times New Roman" w:cs="Times New Roman"/>
          <w:b/>
          <w:spacing w:val="-34"/>
          <w:sz w:val="30"/>
          <w:szCs w:val="30"/>
        </w:rPr>
        <w:t>·</w:t>
      </w:r>
      <w:r>
        <w:rPr>
          <w:rFonts w:ascii="Times New Roman" w:eastAsia="仿宋" w:hAnsi="Times New Roman" w:cs="仿宋" w:hint="eastAsia"/>
          <w:bCs/>
          <w:color w:val="000000" w:themeColor="text1"/>
          <w:sz w:val="30"/>
          <w:szCs w:val="30"/>
        </w:rPr>
        <w:t>乌海”品牌影响力，建成中国美术家协会和中国摄影家协会创作基地。</w:t>
      </w:r>
    </w:p>
    <w:p w:rsidR="001328A6" w:rsidRDefault="007F3236">
      <w:pPr>
        <w:overflowPunct w:val="0"/>
        <w:spacing w:line="554" w:lineRule="exact"/>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落实全民健身国家战略。加强全民健身场地设施建设，积极推进公共体育场馆、学校体育场馆向社会免费或优惠开放。大力开展全</w:t>
      </w:r>
      <w:r>
        <w:rPr>
          <w:rFonts w:ascii="Times New Roman" w:eastAsia="仿宋" w:hAnsi="Times New Roman" w:cs="仿宋" w:hint="eastAsia"/>
          <w:bCs/>
          <w:color w:val="000000" w:themeColor="text1"/>
          <w:spacing w:val="-6"/>
          <w:sz w:val="30"/>
          <w:szCs w:val="30"/>
        </w:rPr>
        <w:t>民健身运动，以全民健康为目标，持续提升市、区全民健身运动的覆盖率和质量，完善健身服务点建设，进一步向街道和社区倾斜体育赛事活动资源。深化“体教融合”，推动青少年体育全面发展，推动</w:t>
      </w:r>
      <w:r>
        <w:rPr>
          <w:rFonts w:ascii="Times New Roman" w:eastAsia="仿宋" w:hAnsi="Times New Roman" w:cs="仿宋" w:hint="eastAsia"/>
          <w:bCs/>
          <w:color w:val="000000" w:themeColor="text1"/>
          <w:sz w:val="30"/>
          <w:szCs w:val="30"/>
        </w:rPr>
        <w:t>体育学校基础设施不断完善，提高竞技体育综合实力。</w:t>
      </w:r>
    </w:p>
    <w:p w:rsidR="001328A6" w:rsidRDefault="001328A6">
      <w:pPr>
        <w:overflowPunct w:val="0"/>
        <w:spacing w:line="554" w:lineRule="exact"/>
        <w:jc w:val="center"/>
        <w:outlineLvl w:val="2"/>
        <w:rPr>
          <w:rFonts w:ascii="Times New Roman" w:eastAsia="仿宋" w:hAnsi="Times New Roman" w:cs="仿宋"/>
          <w:bCs/>
          <w:sz w:val="30"/>
          <w:szCs w:val="30"/>
        </w:rPr>
      </w:pPr>
      <w:bookmarkStart w:id="336" w:name="_Toc27751"/>
      <w:bookmarkStart w:id="337" w:name="_Toc19989"/>
    </w:p>
    <w:p w:rsidR="001328A6" w:rsidRDefault="007F3236">
      <w:pPr>
        <w:overflowPunct w:val="0"/>
        <w:spacing w:line="554" w:lineRule="exact"/>
        <w:jc w:val="center"/>
        <w:outlineLvl w:val="2"/>
        <w:rPr>
          <w:rFonts w:ascii="Times New Roman" w:eastAsia="楷体" w:hAnsi="Times New Roman" w:cs="楷体"/>
          <w:bCs/>
          <w:sz w:val="32"/>
          <w:szCs w:val="32"/>
        </w:rPr>
      </w:pPr>
      <w:r>
        <w:rPr>
          <w:rFonts w:ascii="Times New Roman" w:eastAsia="楷体" w:hAnsi="Times New Roman" w:cs="楷体" w:hint="eastAsia"/>
          <w:bCs/>
          <w:sz w:val="32"/>
          <w:szCs w:val="32"/>
        </w:rPr>
        <w:t>第四节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推动文化遗产活起来</w:t>
      </w:r>
      <w:bookmarkEnd w:id="336"/>
      <w:bookmarkEnd w:id="337"/>
    </w:p>
    <w:p w:rsidR="001328A6" w:rsidRDefault="001328A6">
      <w:pPr>
        <w:pBdr>
          <w:top w:val="none" w:sz="0" w:space="1" w:color="auto"/>
          <w:left w:val="none" w:sz="0" w:space="4" w:color="auto"/>
          <w:bottom w:val="none" w:sz="0" w:space="1" w:color="auto"/>
          <w:right w:val="none" w:sz="0" w:space="4" w:color="auto"/>
        </w:pBdr>
        <w:overflowPunct w:val="0"/>
        <w:spacing w:line="554"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4"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探索文化遗产利用新途径。充分挖掘黄河文化历史资源，编制乌海地区历史文化研究文集，策划推出展现黄河历史文化特色的陈</w:t>
      </w:r>
      <w:r>
        <w:rPr>
          <w:rFonts w:ascii="Times New Roman" w:eastAsia="仿宋" w:hAnsi="Times New Roman" w:cs="仿宋" w:hint="eastAsia"/>
          <w:bCs/>
          <w:color w:val="000000" w:themeColor="text1"/>
          <w:sz w:val="30"/>
          <w:szCs w:val="30"/>
        </w:rPr>
        <w:lastRenderedPageBreak/>
        <w:t>列展览。新建乌海市博物馆，推进岩画遗址博物馆开放运营、乌海第一党支部红色纪念馆和明长城烽火台博物馆建设，加大六五四“小三线”工业文化遗产保护、利用和特色博物馆建设。激发博物馆创新活力，加强博物馆与高校、科研院所合作。</w:t>
      </w:r>
    </w:p>
    <w:p w:rsidR="001328A6" w:rsidRDefault="007F3236">
      <w:pPr>
        <w:pBdr>
          <w:top w:val="none" w:sz="0" w:space="1" w:color="auto"/>
          <w:left w:val="none" w:sz="0" w:space="4" w:color="auto"/>
          <w:bottom w:val="none" w:sz="0" w:space="1" w:color="auto"/>
          <w:right w:val="none" w:sz="0" w:space="4" w:color="auto"/>
        </w:pBdr>
        <w:overflowPunct w:val="0"/>
        <w:spacing w:line="554"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探索非遗传承展示新模式。推进非遗分类保护，加强非遗资源采用数字化方式进行记录、保存和传播，积极申报国家、自治区非遗项目。打造线上线下非遗展示场所，支持文化馆、图书馆、博物馆、美术馆等相关机构开设非遗展示区，推进非遗进景区、社区、乡村、校园。推动非遗产业化传承，创新非遗宣传营销合作，推进蒙医沙疗体验中心建设，开展“全民学非遗”“非遗旅游打卡行”等活动。</w:t>
      </w:r>
    </w:p>
    <w:p w:rsidR="001328A6" w:rsidRDefault="001328A6">
      <w:pPr>
        <w:pStyle w:val="a0"/>
        <w:spacing w:before="0" w:after="0" w:line="240" w:lineRule="exact"/>
        <w:rPr>
          <w:rFonts w:ascii="Times New Roman" w:hAnsi="Times New Roman"/>
        </w:rPr>
      </w:pPr>
    </w:p>
    <w:tbl>
      <w:tblPr>
        <w:tblW w:w="8735" w:type="dxa"/>
        <w:tblBorders>
          <w:top w:val="single" w:sz="4" w:space="0" w:color="auto"/>
          <w:left w:val="single" w:sz="4" w:space="0" w:color="auto"/>
          <w:bottom w:val="single" w:sz="4" w:space="0" w:color="auto"/>
          <w:right w:val="single" w:sz="4" w:space="0" w:color="auto"/>
        </w:tblBorders>
        <w:tblLayout w:type="fixed"/>
        <w:tblLook w:val="04A0"/>
      </w:tblPr>
      <w:tblGrid>
        <w:gridCol w:w="8735"/>
      </w:tblGrid>
      <w:tr w:rsidR="001328A6">
        <w:trPr>
          <w:trHeight w:val="255"/>
        </w:trPr>
        <w:tc>
          <w:tcPr>
            <w:tcW w:w="8735" w:type="dxa"/>
            <w:tcBorders>
              <w:top w:val="single" w:sz="4" w:space="0" w:color="auto"/>
              <w:left w:val="single" w:sz="4" w:space="0" w:color="auto"/>
              <w:bottom w:val="single" w:sz="4" w:space="0" w:color="auto"/>
              <w:right w:val="single" w:sz="4" w:space="0" w:color="auto"/>
            </w:tcBorders>
          </w:tcPr>
          <w:p w:rsidR="001328A6" w:rsidRDefault="007F3236">
            <w:pPr>
              <w:pBdr>
                <w:top w:val="none" w:sz="0" w:space="1" w:color="auto"/>
                <w:left w:val="none" w:sz="0" w:space="4" w:color="auto"/>
                <w:bottom w:val="none" w:sz="0" w:space="1" w:color="auto"/>
                <w:right w:val="none" w:sz="0" w:space="4" w:color="auto"/>
              </w:pBdr>
              <w:overflowPunct w:val="0"/>
              <w:spacing w:line="480" w:lineRule="exact"/>
              <w:jc w:val="center"/>
              <w:rPr>
                <w:rFonts w:ascii="Times New Roman" w:eastAsia="宋体" w:hAnsi="Times New Roman" w:cs="Times New Roman"/>
                <w:bCs/>
                <w:kern w:val="0"/>
                <w:sz w:val="32"/>
                <w:szCs w:val="32"/>
              </w:rPr>
            </w:pPr>
            <w:r>
              <w:rPr>
                <w:rFonts w:ascii="Times New Roman" w:hAnsi="Times New Roman" w:cstheme="minorEastAsia" w:hint="eastAsia"/>
                <w:b/>
                <w:color w:val="000000" w:themeColor="text1"/>
                <w:sz w:val="24"/>
                <w:szCs w:val="24"/>
              </w:rPr>
              <w:t>专栏</w:t>
            </w:r>
            <w:r>
              <w:rPr>
                <w:rFonts w:ascii="Times New Roman" w:hAnsi="Times New Roman" w:cstheme="minorEastAsia" w:hint="eastAsia"/>
                <w:b/>
                <w:color w:val="000000" w:themeColor="text1"/>
                <w:sz w:val="24"/>
                <w:szCs w:val="24"/>
              </w:rPr>
              <w:t xml:space="preserve">14  </w:t>
            </w:r>
            <w:r>
              <w:rPr>
                <w:rFonts w:ascii="Times New Roman" w:hAnsi="Times New Roman" w:cstheme="minorEastAsia" w:hint="eastAsia"/>
                <w:b/>
                <w:color w:val="000000" w:themeColor="text1"/>
                <w:sz w:val="24"/>
                <w:szCs w:val="24"/>
              </w:rPr>
              <w:t>文化宣传重点工程</w:t>
            </w:r>
          </w:p>
        </w:tc>
      </w:tr>
      <w:tr w:rsidR="001328A6">
        <w:trPr>
          <w:trHeight w:val="695"/>
        </w:trPr>
        <w:tc>
          <w:tcPr>
            <w:tcW w:w="8735" w:type="dxa"/>
            <w:tcBorders>
              <w:top w:val="single" w:sz="4" w:space="0" w:color="auto"/>
              <w:left w:val="single" w:sz="4" w:space="0" w:color="auto"/>
              <w:bottom w:val="single" w:sz="4" w:space="0" w:color="auto"/>
              <w:right w:val="single" w:sz="4" w:space="0" w:color="auto"/>
            </w:tcBorders>
          </w:tcPr>
          <w:p w:rsidR="001328A6" w:rsidRDefault="007F3236">
            <w:pPr>
              <w:pBdr>
                <w:top w:val="none" w:sz="0" w:space="1" w:color="auto"/>
                <w:left w:val="none" w:sz="0" w:space="4" w:color="auto"/>
                <w:bottom w:val="none" w:sz="0" w:space="1" w:color="auto"/>
                <w:right w:val="none" w:sz="0" w:space="4" w:color="auto"/>
              </w:pBdr>
              <w:overflowPunct w:val="0"/>
              <w:spacing w:line="480" w:lineRule="exact"/>
              <w:ind w:firstLineChars="200" w:firstLine="480"/>
              <w:rPr>
                <w:rFonts w:ascii="Times New Roman" w:hAnsi="Times New Roman" w:cs="Times New Roman"/>
                <w:bCs/>
              </w:rPr>
            </w:pPr>
            <w:r>
              <w:rPr>
                <w:rFonts w:ascii="Times New Roman" w:hAnsi="Times New Roman" w:cs="Times New Roman"/>
                <w:bCs/>
                <w:sz w:val="24"/>
                <w:szCs w:val="24"/>
              </w:rPr>
              <w:t>扩大广电网络基本公共服务覆盖范围，提升广电智慧化水平，推动群众艺术基地和各类文艺活动场所建设，加快博物馆、图书馆、美术馆、档案馆建设及数字化进程。加强各类文化遗产利用，保护非物质文化遗产，推动非遗可持续传承。</w:t>
            </w:r>
          </w:p>
        </w:tc>
      </w:tr>
    </w:tbl>
    <w:p w:rsidR="001328A6" w:rsidRDefault="001328A6">
      <w:pPr>
        <w:pBdr>
          <w:top w:val="none" w:sz="0" w:space="1" w:color="auto"/>
          <w:left w:val="none" w:sz="0" w:space="4" w:color="auto"/>
          <w:bottom w:val="none" w:sz="0" w:space="1" w:color="auto"/>
          <w:right w:val="none" w:sz="0" w:space="4" w:color="auto"/>
        </w:pBdr>
        <w:overflowPunct w:val="0"/>
        <w:spacing w:line="20" w:lineRule="exact"/>
        <w:ind w:firstLineChars="200" w:firstLine="640"/>
        <w:rPr>
          <w:rFonts w:ascii="Times New Roman" w:eastAsia="仿宋_GB2312" w:hAnsi="Times New Roman" w:cs="Times New Roman"/>
          <w:bCs/>
          <w:color w:val="000000" w:themeColor="text1"/>
          <w:sz w:val="32"/>
          <w:szCs w:val="32"/>
        </w:rPr>
      </w:pPr>
    </w:p>
    <w:p w:rsidR="001328A6" w:rsidRDefault="007F3236">
      <w:pPr>
        <w:overflowPunct w:val="0"/>
        <w:spacing w:line="580" w:lineRule="exact"/>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br w:type="page"/>
      </w:r>
    </w:p>
    <w:p w:rsidR="001328A6" w:rsidRDefault="007F3236">
      <w:pPr>
        <w:overflowPunct w:val="0"/>
        <w:spacing w:line="580" w:lineRule="exact"/>
        <w:jc w:val="center"/>
        <w:outlineLvl w:val="0"/>
        <w:rPr>
          <w:rFonts w:ascii="方正小标宋简体" w:eastAsia="方正小标宋简体" w:hAnsi="方正小标宋简体" w:cs="方正小标宋简体"/>
          <w:bCs/>
          <w:sz w:val="32"/>
          <w:szCs w:val="32"/>
        </w:rPr>
      </w:pPr>
      <w:bookmarkStart w:id="338" w:name="_Toc3773"/>
      <w:bookmarkStart w:id="339" w:name="_Toc16958"/>
      <w:r>
        <w:rPr>
          <w:rFonts w:ascii="方正小标宋简体" w:eastAsia="方正小标宋简体" w:hAnsi="方正小标宋简体" w:cs="方正小标宋简体" w:hint="eastAsia"/>
          <w:bCs/>
          <w:sz w:val="32"/>
          <w:szCs w:val="32"/>
        </w:rPr>
        <w:lastRenderedPageBreak/>
        <w:t>第七篇  服务融入新发展格局拓展经济发展新空间</w:t>
      </w:r>
      <w:bookmarkEnd w:id="338"/>
      <w:bookmarkEnd w:id="339"/>
    </w:p>
    <w:p w:rsidR="001328A6" w:rsidRDefault="001328A6">
      <w:pPr>
        <w:pStyle w:val="a0"/>
        <w:overflowPunct w:val="0"/>
        <w:spacing w:before="0" w:after="0" w:line="580" w:lineRule="exact"/>
        <w:outlineLvl w:val="9"/>
        <w:rPr>
          <w:rFonts w:ascii="Times New Roman" w:eastAsia="仿宋" w:hAnsi="Times New Roman" w:cs="仿宋"/>
          <w:b w:val="0"/>
          <w:color w:val="000000" w:themeColor="text1"/>
          <w:sz w:val="30"/>
          <w:szCs w:val="30"/>
        </w:rPr>
      </w:pPr>
    </w:p>
    <w:p w:rsidR="001328A6" w:rsidRDefault="007F3236">
      <w:pP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按照习近平总书记“坚持供给侧结构性改革这个战略方向，扭住扩大内需这个战略基点，使生产、分配、流通、消费更多依托国内市场，提升供给体系对国内需求的适配性，形成需求牵引供给、供给创造需求的更高水平动态平衡”的重要指示要求，牢牢把握国家扩大内需战略基点，主动服务、积极融入国内国际双循环，把国内需求作为发展的出发点和落脚点，促进消费潜能不断释放、有效投资持续增长、出口规模稳定扩大，在全方位融入新发展格局中增创发展新优势。</w:t>
      </w:r>
    </w:p>
    <w:p w:rsidR="001328A6" w:rsidRDefault="001328A6">
      <w:pPr>
        <w:pStyle w:val="a0"/>
        <w:overflowPunct w:val="0"/>
        <w:spacing w:before="0" w:after="0" w:line="580" w:lineRule="exact"/>
        <w:outlineLvl w:val="9"/>
        <w:rPr>
          <w:rFonts w:ascii="Times New Roman" w:eastAsia="仿宋" w:hAnsi="Times New Roman" w:cs="仿宋"/>
          <w:b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8" w:lineRule="exact"/>
        <w:jc w:val="center"/>
        <w:outlineLvl w:val="1"/>
        <w:rPr>
          <w:rFonts w:ascii="Times New Roman" w:eastAsia="黑体" w:hAnsi="Times New Roman" w:cs="黑体"/>
          <w:bCs/>
          <w:sz w:val="32"/>
          <w:szCs w:val="32"/>
        </w:rPr>
      </w:pPr>
      <w:bookmarkStart w:id="340" w:name="_Toc4008"/>
      <w:bookmarkStart w:id="341" w:name="_Toc21019"/>
      <w:r>
        <w:rPr>
          <w:rFonts w:ascii="Times New Roman" w:eastAsia="黑体" w:hAnsi="Times New Roman" w:cs="黑体" w:hint="eastAsia"/>
          <w:bCs/>
          <w:sz w:val="32"/>
          <w:szCs w:val="32"/>
        </w:rPr>
        <w:t>第二十四章</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拓展投资空间保持投资合理稳定增长</w:t>
      </w:r>
      <w:bookmarkEnd w:id="340"/>
      <w:bookmarkEnd w:id="341"/>
    </w:p>
    <w:p w:rsidR="001328A6" w:rsidRDefault="001328A6">
      <w:pPr>
        <w:pStyle w:val="a0"/>
        <w:overflowPunct w:val="0"/>
        <w:spacing w:before="0" w:after="0" w:line="580" w:lineRule="exact"/>
        <w:outlineLvl w:val="9"/>
        <w:rPr>
          <w:rFonts w:ascii="Times New Roman" w:eastAsia="仿宋" w:hAnsi="Times New Roman" w:cs="仿宋"/>
          <w:b w:val="0"/>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发挥投资对优化供给结构的关键作用，聚焦补短板、优结构，坚持供给侧创新、需求侧发力，积极扩大投资规模，着力优化投资结构，提高投资的有效性和精准性。</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342" w:name="_Toc7318"/>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343" w:name="_Toc19110"/>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扩大有效投资规模</w:t>
      </w:r>
      <w:bookmarkEnd w:id="342"/>
      <w:bookmarkEnd w:id="343"/>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60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加</w:t>
      </w:r>
      <w:r>
        <w:rPr>
          <w:rFonts w:ascii="Times New Roman" w:eastAsia="仿宋" w:hAnsi="Times New Roman" w:cs="仿宋" w:hint="eastAsia"/>
          <w:bCs/>
          <w:color w:val="000000" w:themeColor="text1"/>
          <w:spacing w:val="-6"/>
          <w:sz w:val="30"/>
          <w:szCs w:val="30"/>
        </w:rPr>
        <w:t>大重点领域投资力度。聚焦国家、自治区的支持方向，</w:t>
      </w:r>
      <w:r>
        <w:rPr>
          <w:rFonts w:ascii="Times New Roman" w:eastAsia="仿宋" w:hAnsi="Times New Roman" w:cs="仿宋" w:hint="eastAsia"/>
          <w:bCs/>
          <w:spacing w:val="-6"/>
          <w:sz w:val="30"/>
          <w:szCs w:val="30"/>
        </w:rPr>
        <w:t>围绕抓重点、补短板、调结构，充分发挥重大项目对投资的支撑和引导作用。</w:t>
      </w:r>
      <w:r>
        <w:rPr>
          <w:rFonts w:ascii="Times New Roman" w:eastAsia="仿宋" w:hAnsi="Times New Roman" w:cs="仿宋" w:hint="eastAsia"/>
          <w:bCs/>
          <w:color w:val="000000" w:themeColor="text1"/>
          <w:spacing w:val="-6"/>
          <w:sz w:val="30"/>
          <w:szCs w:val="30"/>
        </w:rPr>
        <w:t>实施一批全要素、全产业链的转型升级项目，加快传统产业装备更新和技</w:t>
      </w:r>
      <w:r>
        <w:rPr>
          <w:rFonts w:ascii="Times New Roman" w:eastAsia="仿宋" w:hAnsi="Times New Roman" w:cs="仿宋" w:hint="eastAsia"/>
          <w:bCs/>
          <w:color w:val="000000" w:themeColor="text1"/>
          <w:spacing w:val="-6"/>
          <w:sz w:val="30"/>
          <w:szCs w:val="30"/>
        </w:rPr>
        <w:lastRenderedPageBreak/>
        <w:t>术改造，推动新兴产业多元化发展。实施一批新型基础设施项目，加快</w:t>
      </w:r>
      <w:r>
        <w:rPr>
          <w:rFonts w:ascii="Times New Roman" w:eastAsia="仿宋" w:hAnsi="Times New Roman" w:cs="仿宋" w:hint="eastAsia"/>
          <w:bCs/>
          <w:color w:val="000000" w:themeColor="text1"/>
          <w:spacing w:val="-6"/>
          <w:sz w:val="30"/>
          <w:szCs w:val="30"/>
        </w:rPr>
        <w:t>5G</w:t>
      </w:r>
      <w:r>
        <w:rPr>
          <w:rFonts w:ascii="Times New Roman" w:eastAsia="仿宋" w:hAnsi="Times New Roman" w:cs="仿宋" w:hint="eastAsia"/>
          <w:bCs/>
          <w:color w:val="000000" w:themeColor="text1"/>
          <w:spacing w:val="-6"/>
          <w:sz w:val="30"/>
          <w:szCs w:val="30"/>
        </w:rPr>
        <w:t>网络、物联网、工业互联网、数据中心、加氢站等新型基础设施建设，支持智慧城市、智慧物流、智慧医疗等示范应用。实施一批民生社会补短板项目，持续加大教育、医疗、养老等领域投入，加强公共卫生设施、应急物资保障体系等领域建设，加快</w:t>
      </w:r>
      <w:r>
        <w:rPr>
          <w:rFonts w:ascii="Times New Roman" w:eastAsia="仿宋" w:hAnsi="Times New Roman" w:cs="仿宋" w:hint="eastAsia"/>
          <w:bCs/>
          <w:color w:val="000000" w:themeColor="text1"/>
          <w:sz w:val="30"/>
          <w:szCs w:val="30"/>
        </w:rPr>
        <w:t>自然灾害防治、生态环境修复等重点工程实施。</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600" w:lineRule="exact"/>
        <w:ind w:firstLineChars="200" w:firstLine="600"/>
        <w:jc w:val="left"/>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持续优化投资结构。深化“放管服”改革，激发民间投资活力，清理民间资本准入不合理限制，降低民间投资门槛，支持和引导民间投资参与补短板和新型基础设施建设，健全向民间资本推荐项目的长效机制，形成市场主导的投资内生增长机制。合理谋划政府投资项目，充分发挥财政资金撬动作用，深入研究政府投资项目资金的可持续性问题，完善政府和社会资本合作模式，提高政府投资项目的执行力。坚持“有所为有所不为、先为后为、快为慢为”相结合，合理安排年度政府投资项目，充分发挥有限财力的最大绩效。</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600" w:lineRule="exact"/>
        <w:ind w:firstLineChars="200" w:firstLine="600"/>
        <w:jc w:val="left"/>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保障重大项目要素供给。坚持要素跟着项目走，科学合理配置土地、水指标等要素供给，依法依规淘汰落后产能，盘活能耗、土地、水权等指标，优先保障重大转型项目落地。加大财政金融政策的支持力度，力争将一批储备项目纳入国家重大建设项目库三年滚动投资计划，争取中央、自治区预算内投资和中央财政专项资金支持，做好各类债券项目储备。引导商业银行向重大项目发放中长期贷款。</w:t>
      </w:r>
    </w:p>
    <w:p w:rsidR="001328A6" w:rsidRDefault="007F3236">
      <w:pPr>
        <w:pBdr>
          <w:top w:val="none" w:sz="0" w:space="1" w:color="auto"/>
          <w:left w:val="none" w:sz="0" w:space="4" w:color="auto"/>
          <w:bottom w:val="none" w:sz="0" w:space="1" w:color="auto"/>
          <w:right w:val="none" w:sz="0" w:space="4" w:color="auto"/>
        </w:pBdr>
        <w:overflowPunct w:val="0"/>
        <w:spacing w:line="610" w:lineRule="exact"/>
        <w:jc w:val="center"/>
        <w:outlineLvl w:val="2"/>
        <w:rPr>
          <w:rFonts w:ascii="Times New Roman" w:eastAsia="楷体" w:hAnsi="Times New Roman" w:cs="楷体"/>
          <w:bCs/>
          <w:sz w:val="32"/>
          <w:szCs w:val="32"/>
        </w:rPr>
      </w:pPr>
      <w:bookmarkStart w:id="344" w:name="_Toc12400"/>
      <w:bookmarkStart w:id="345" w:name="_Toc24844"/>
      <w:r>
        <w:rPr>
          <w:rFonts w:ascii="Times New Roman" w:eastAsia="楷体" w:hAnsi="Times New Roman" w:cs="楷体" w:hint="eastAsia"/>
          <w:bCs/>
          <w:sz w:val="32"/>
          <w:szCs w:val="32"/>
        </w:rPr>
        <w:lastRenderedPageBreak/>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加强项目策划储备</w:t>
      </w:r>
      <w:bookmarkEnd w:id="344"/>
      <w:bookmarkEnd w:id="345"/>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61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61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提升重大项目谋划精度和深度。紧抓国家推进“两新一重”建设、区域战略向纵深推进的机遇，全面对接国家、自治区重大建设规划，突出政策导向、短板弱项、思路创新、落地可行，谋划一批打基础、补短板、增后劲、利长远的重大标志性工程和有温度的项目，形成滚动接续的项目储备机制。创新项目策划方式，邀请第三方项目策划专业团队进行跟踪式策划。</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61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创新重点项目建设联合推动机制。在现有领导包联、定期调度、通报情况、解决问题等重点项目工作机制基础上，进一步健全各区、各部门通力协作机制，创新和完善工作措施，推动形成更加高效的协同工作体系。统一编制实施全市重大项目“一本账”，明确形象进度、主要节点、责任单位，推动各区、各部门合力破解项目实施中的突出矛盾和问题，形成谋划储备一批、前期攻坚一批、建设实施一批、建成投产一批的良性循环。</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61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加大招商引资力度。建设一流营商环境，增强招商引资竞争力，全面激发用电、用气等低成本潜能，降低企业生产要素成本、制度性成本，打造产业发展“低成本洼地”。建立完善招商工作机制，推进精准招商、以商招商，突出招大引强、招新引优，运用云招商等新模式，开展定向招商、产业链招商、线上招商。</w:t>
      </w:r>
    </w:p>
    <w:p w:rsidR="001328A6" w:rsidRDefault="001328A6">
      <w:pPr>
        <w:pBdr>
          <w:top w:val="none" w:sz="0" w:space="1" w:color="auto"/>
          <w:left w:val="none" w:sz="0" w:space="4" w:color="auto"/>
          <w:bottom w:val="none" w:sz="0" w:space="1" w:color="auto"/>
          <w:right w:val="none" w:sz="0" w:space="4" w:color="auto"/>
        </w:pBdr>
        <w:overflowPunct w:val="0"/>
        <w:spacing w:line="610" w:lineRule="exact"/>
        <w:jc w:val="center"/>
        <w:rPr>
          <w:rFonts w:ascii="Times New Roman" w:eastAsia="仿宋" w:hAnsi="Times New Roman" w:cs="仿宋"/>
          <w:bCs/>
          <w:sz w:val="30"/>
          <w:szCs w:val="30"/>
        </w:rPr>
      </w:pPr>
      <w:bookmarkStart w:id="346" w:name="_Toc18406"/>
      <w:bookmarkStart w:id="347" w:name="_Toc15400"/>
    </w:p>
    <w:p w:rsidR="001328A6" w:rsidRDefault="007F3236">
      <w:pPr>
        <w:pBdr>
          <w:top w:val="none" w:sz="0" w:space="1" w:color="auto"/>
          <w:left w:val="none" w:sz="0" w:space="4" w:color="auto"/>
          <w:bottom w:val="none" w:sz="0" w:space="1" w:color="auto"/>
          <w:right w:val="none" w:sz="0" w:space="4" w:color="auto"/>
        </w:pBdr>
        <w:overflowPunct w:val="0"/>
        <w:spacing w:line="610" w:lineRule="exact"/>
        <w:jc w:val="center"/>
        <w:outlineLvl w:val="2"/>
        <w:rPr>
          <w:rFonts w:ascii="Times New Roman" w:eastAsia="楷体" w:hAnsi="Times New Roman" w:cs="楷体"/>
          <w:bCs/>
          <w:sz w:val="32"/>
          <w:szCs w:val="32"/>
        </w:rPr>
      </w:pPr>
      <w:bookmarkStart w:id="348" w:name="_Toc29816"/>
      <w:r>
        <w:rPr>
          <w:rFonts w:ascii="Times New Roman" w:eastAsia="楷体" w:hAnsi="Times New Roman" w:cs="楷体" w:hint="eastAsia"/>
          <w:bCs/>
          <w:sz w:val="32"/>
          <w:szCs w:val="32"/>
        </w:rPr>
        <w:lastRenderedPageBreak/>
        <w:t>第三节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提升利用外资质量</w:t>
      </w:r>
      <w:bookmarkEnd w:id="346"/>
      <w:bookmarkEnd w:id="347"/>
      <w:bookmarkEnd w:id="348"/>
    </w:p>
    <w:p w:rsidR="001328A6" w:rsidRDefault="001328A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color w:val="000000" w:themeColor="text1"/>
          <w:sz w:val="30"/>
          <w:szCs w:val="30"/>
        </w:rPr>
        <w:t>提升外资利用效益，充分发挥投资促进平台功能，通过开展形式多样的招商引资和项目推介活动，进一步扩大外资利用规模。依托乌海市的资源禀赋、优势产业、重点企业及项目，积极承接国际产业转移，引导外资重点投向先进制造业、新兴产业、高新技术、节能环保等领域，不断优化利用外资结构。鼓励外资以参股、并购、融资租赁等方式参与企业改组改造和兼并重组，进一步创新外资利用方式。鼓励跨国公司研发中心、区域总部、结算中心落户乌海，努力提升外资利用层次。</w:t>
      </w:r>
    </w:p>
    <w:p w:rsidR="001328A6" w:rsidRDefault="001328A6">
      <w:pPr>
        <w:pStyle w:val="a0"/>
        <w:overflowPunct w:val="0"/>
        <w:spacing w:before="0" w:after="0" w:line="554" w:lineRule="exact"/>
        <w:outlineLvl w:val="9"/>
        <w:rPr>
          <w:rFonts w:ascii="Times New Roman" w:eastAsia="仿宋" w:hAnsi="Times New Roman" w:cs="仿宋"/>
          <w:b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4" w:lineRule="exact"/>
        <w:jc w:val="center"/>
        <w:outlineLvl w:val="1"/>
        <w:rPr>
          <w:rFonts w:ascii="Times New Roman" w:eastAsia="黑体" w:hAnsi="Times New Roman" w:cs="黑体"/>
          <w:bCs/>
          <w:sz w:val="32"/>
          <w:szCs w:val="32"/>
        </w:rPr>
      </w:pPr>
      <w:bookmarkStart w:id="349" w:name="_Toc16295"/>
      <w:bookmarkStart w:id="350" w:name="_Toc29258"/>
      <w:r>
        <w:rPr>
          <w:rFonts w:ascii="Times New Roman" w:eastAsia="黑体" w:hAnsi="Times New Roman" w:cs="黑体" w:hint="eastAsia"/>
          <w:bCs/>
          <w:sz w:val="32"/>
          <w:szCs w:val="32"/>
        </w:rPr>
        <w:t>第二十五章</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全面促进消费增强发展新动能</w:t>
      </w:r>
      <w:bookmarkEnd w:id="349"/>
      <w:bookmarkEnd w:id="350"/>
    </w:p>
    <w:p w:rsidR="001328A6" w:rsidRDefault="001328A6">
      <w:pPr>
        <w:pStyle w:val="a0"/>
        <w:overflowPunct w:val="0"/>
        <w:spacing w:before="0" w:after="0" w:line="554" w:lineRule="exact"/>
        <w:outlineLvl w:val="9"/>
        <w:rPr>
          <w:rFonts w:ascii="Times New Roman" w:eastAsia="仿宋" w:hAnsi="Times New Roman" w:cs="仿宋"/>
          <w:b w:val="0"/>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54"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顺应消费升级趋势，促进消费扩容提质，引入新平台、新场景，提升传统消费，培育新型消费，适当增加公共消费，改善消费环境，增强消费能力，加强政策支持力度，夯实消费对经济发展的基础性作用。</w:t>
      </w:r>
    </w:p>
    <w:p w:rsidR="001328A6" w:rsidRDefault="001328A6">
      <w:pPr>
        <w:pBdr>
          <w:top w:val="none" w:sz="0" w:space="1" w:color="auto"/>
          <w:left w:val="none" w:sz="0" w:space="4" w:color="auto"/>
          <w:bottom w:val="none" w:sz="0" w:space="1" w:color="auto"/>
          <w:right w:val="none" w:sz="0" w:space="4" w:color="auto"/>
        </w:pBdr>
        <w:overflowPunct w:val="0"/>
        <w:spacing w:line="554" w:lineRule="exact"/>
        <w:jc w:val="center"/>
        <w:rPr>
          <w:rFonts w:ascii="Times New Roman" w:eastAsia="仿宋" w:hAnsi="Times New Roman" w:cs="仿宋"/>
          <w:bCs/>
          <w:sz w:val="30"/>
          <w:szCs w:val="30"/>
        </w:rPr>
      </w:pPr>
      <w:bookmarkStart w:id="351" w:name="_Toc14439"/>
    </w:p>
    <w:p w:rsidR="001328A6" w:rsidRDefault="007F3236">
      <w:pPr>
        <w:pBdr>
          <w:top w:val="none" w:sz="0" w:space="1" w:color="auto"/>
          <w:left w:val="none" w:sz="0" w:space="4" w:color="auto"/>
          <w:bottom w:val="none" w:sz="0" w:space="1" w:color="auto"/>
          <w:right w:val="none" w:sz="0" w:space="4" w:color="auto"/>
        </w:pBdr>
        <w:overflowPunct w:val="0"/>
        <w:spacing w:line="554" w:lineRule="exact"/>
        <w:jc w:val="center"/>
        <w:outlineLvl w:val="2"/>
        <w:rPr>
          <w:rFonts w:ascii="Times New Roman" w:eastAsia="楷体" w:hAnsi="Times New Roman" w:cs="楷体"/>
          <w:bCs/>
          <w:sz w:val="32"/>
          <w:szCs w:val="32"/>
        </w:rPr>
      </w:pPr>
      <w:bookmarkStart w:id="352" w:name="_Toc23747"/>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建设自治区西部区域消费中心城市</w:t>
      </w:r>
      <w:bookmarkEnd w:id="351"/>
      <w:bookmarkEnd w:id="352"/>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554"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54"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打造特色城市商圈。推动消费载体提质升级，完善万达广场、月星家居等商业综合体功能，引进高端商业资源、新型商业元素和</w:t>
      </w:r>
      <w:r>
        <w:rPr>
          <w:rFonts w:ascii="Times New Roman" w:eastAsia="仿宋" w:hAnsi="Times New Roman" w:cs="仿宋" w:hint="eastAsia"/>
          <w:bCs/>
          <w:color w:val="000000" w:themeColor="text1"/>
          <w:sz w:val="30"/>
          <w:szCs w:val="30"/>
        </w:rPr>
        <w:lastRenderedPageBreak/>
        <w:t>商业模式，着力引入一批全国性或区域性品牌首店、旗舰店、体验店，打造高品质、现代化、接轨国际时尚潮流、有区域影响力的城市消费地标。加强特色商业街区改造提升，积极申报国家和自治区步行街改造提升试点街区，打造兼具现代商业形象展示与城市文化底蕴传承，有品质、有内涵、有颜值、有人气的城市特色商业名片。</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建设高水平生活消费设施。优化中心城区生活功能区，完善高端文化娱乐、旅游服务、健身休闲等生活消费设施，提升环境品质，不断丰富健康、养老、体育、文化等服务产品供给，加快提升区域中心城市的综合服务功能，将城区打造成为辐射周边区域的生活服务消费中心、便捷舒适的高品质生态宜居区。</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吸引外来人口消费。以文旅、农旅、商旅融合发展为契机，拓展旅游消费内容，进一步激发文化和旅游消费潜力，带动外来人口消费。围绕“吃住行游购娱”，培树乌海特色，打造“乌海老字号”品牌，创新旅游产品设计，丰富旅游消费产品供给。开展“惠游乌海”活动，鼓励景区、旅行社、酒店等采取产品打包、价格打捆方式推出“优惠套餐”和“大礼包”，促进旅游消费。实施针对性的消费引导、激励和优惠政策，留住本地消费、吸引外来消费。</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加快构建“智能</w:t>
      </w:r>
      <w:r>
        <w:rPr>
          <w:rFonts w:ascii="Times New Roman" w:eastAsia="仿宋" w:hAnsi="Times New Roman" w:cs="仿宋" w:hint="eastAsia"/>
          <w:bCs/>
          <w:color w:val="000000" w:themeColor="text1"/>
          <w:sz w:val="30"/>
          <w:szCs w:val="30"/>
        </w:rPr>
        <w:t>+</w:t>
      </w:r>
      <w:r>
        <w:rPr>
          <w:rFonts w:ascii="Times New Roman" w:eastAsia="仿宋" w:hAnsi="Times New Roman" w:cs="仿宋" w:hint="eastAsia"/>
          <w:bCs/>
          <w:color w:val="000000" w:themeColor="text1"/>
          <w:sz w:val="30"/>
          <w:szCs w:val="30"/>
        </w:rPr>
        <w:t>”消费生态体系。加强政府引导，聚力社会资源，与京东、淘宝等知名电商平台开展合作，发展线上线下融合的消费新模式新业态。完善“互联网</w:t>
      </w:r>
      <w:r>
        <w:rPr>
          <w:rFonts w:ascii="Times New Roman" w:eastAsia="仿宋" w:hAnsi="Times New Roman" w:cs="仿宋" w:hint="eastAsia"/>
          <w:bCs/>
          <w:color w:val="000000" w:themeColor="text1"/>
          <w:sz w:val="30"/>
          <w:szCs w:val="30"/>
        </w:rPr>
        <w:t>+</w:t>
      </w:r>
      <w:r>
        <w:rPr>
          <w:rFonts w:ascii="Times New Roman" w:eastAsia="仿宋" w:hAnsi="Times New Roman" w:cs="仿宋" w:hint="eastAsia"/>
          <w:bCs/>
          <w:color w:val="000000" w:themeColor="text1"/>
          <w:sz w:val="30"/>
          <w:szCs w:val="30"/>
        </w:rPr>
        <w:t>”消费生态体系，发展“智慧商店”“智慧街区”“智慧商圈”和“数字化店铺”，建设一批线上线下融合的新消费体验馆，推动无接触交易服务，打造服务型、体</w:t>
      </w:r>
      <w:r>
        <w:rPr>
          <w:rFonts w:ascii="Times New Roman" w:eastAsia="仿宋" w:hAnsi="Times New Roman" w:cs="仿宋" w:hint="eastAsia"/>
          <w:bCs/>
          <w:color w:val="000000" w:themeColor="text1"/>
          <w:sz w:val="30"/>
          <w:szCs w:val="30"/>
        </w:rPr>
        <w:lastRenderedPageBreak/>
        <w:t>验型、主题型消费新业态。把握</w:t>
      </w:r>
      <w:r>
        <w:rPr>
          <w:rFonts w:ascii="Times New Roman" w:eastAsia="仿宋" w:hAnsi="Times New Roman" w:cs="仿宋" w:hint="eastAsia"/>
          <w:bCs/>
          <w:color w:val="000000" w:themeColor="text1"/>
          <w:sz w:val="30"/>
          <w:szCs w:val="30"/>
        </w:rPr>
        <w:t>5G</w:t>
      </w:r>
      <w:r>
        <w:rPr>
          <w:rFonts w:ascii="Times New Roman" w:eastAsia="仿宋" w:hAnsi="Times New Roman" w:cs="仿宋" w:hint="eastAsia"/>
          <w:bCs/>
          <w:color w:val="000000" w:themeColor="text1"/>
          <w:sz w:val="30"/>
          <w:szCs w:val="30"/>
        </w:rPr>
        <w:t>网络升级的契机，加快网络信息基础设施建设，深入挖掘网络降费潜力，促进</w:t>
      </w:r>
      <w:r>
        <w:rPr>
          <w:rFonts w:ascii="Times New Roman" w:eastAsia="仿宋" w:hAnsi="Times New Roman" w:cs="仿宋" w:hint="eastAsia"/>
          <w:bCs/>
          <w:color w:val="000000" w:themeColor="text1"/>
          <w:sz w:val="30"/>
          <w:szCs w:val="30"/>
        </w:rPr>
        <w:t>5G</w:t>
      </w:r>
      <w:r>
        <w:rPr>
          <w:rFonts w:ascii="Times New Roman" w:eastAsia="仿宋" w:hAnsi="Times New Roman" w:cs="仿宋" w:hint="eastAsia"/>
          <w:bCs/>
          <w:color w:val="000000" w:themeColor="text1"/>
          <w:sz w:val="30"/>
          <w:szCs w:val="30"/>
        </w:rPr>
        <w:t>终端消费，加快移动通信用户向</w:t>
      </w:r>
      <w:r>
        <w:rPr>
          <w:rFonts w:ascii="Times New Roman" w:eastAsia="仿宋" w:hAnsi="Times New Roman" w:cs="仿宋" w:hint="eastAsia"/>
          <w:bCs/>
          <w:color w:val="000000" w:themeColor="text1"/>
          <w:sz w:val="30"/>
          <w:szCs w:val="30"/>
        </w:rPr>
        <w:t>5G</w:t>
      </w:r>
      <w:r>
        <w:rPr>
          <w:rFonts w:ascii="Times New Roman" w:eastAsia="仿宋" w:hAnsi="Times New Roman" w:cs="仿宋" w:hint="eastAsia"/>
          <w:bCs/>
          <w:color w:val="000000" w:themeColor="text1"/>
          <w:sz w:val="30"/>
          <w:szCs w:val="30"/>
        </w:rPr>
        <w:t>迁移，推动形成新的信息消费热潮。发展定制消费，满足每个消费者的不同消费需求。</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353" w:name="_Toc7882"/>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354" w:name="_Toc3322"/>
      <w:r>
        <w:rPr>
          <w:rFonts w:ascii="Times New Roman" w:eastAsia="楷体" w:hAnsi="Times New Roman" w:cs="楷体" w:hint="eastAsia"/>
          <w:bCs/>
          <w:sz w:val="32"/>
          <w:szCs w:val="32"/>
        </w:rPr>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充分挖掘居民消费潜力</w:t>
      </w:r>
      <w:bookmarkEnd w:id="353"/>
      <w:bookmarkEnd w:id="354"/>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实施消费升级行动。培育发展夜间经济、网红经济、平台经济、首店经济，扩大养老、大健康等新兴消费领域。增加优质文化消费供给，充分挖掘体育消费潜力，支持社会力量举办高水平体育赛事，满足大众多层次、多样化的体育赛事活动需求。引导和规范社会力量，提供普惠性托育服务，着力增加三岁以下婴幼儿托育服务有效供给。</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提升居民消费能力。拓宽就业渠道，加大创业扶持政策与稳就业工作落实力度，千方百计增加城乡居民收入，提高低收入群体收入，发展壮大中等收入群体。健全工资合理增长机制，确保居民收入稳步增长，通过促进重点群体增收激发消费潜力。丰富和规范居民投资理财产品，稳定和增加居民财产性收入。</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着力优化消费环境。优化乡村消费市场环境，挖掘农村电子商务和旅游消费潜力，推动乡村消费提档升级，健全农村消费渠道，完善农村电商网络，推进电子商务进农村示范项目，推动工业品下乡。完善消费环境建设统筹协调机制，打造一批放心消费示范单位。</w:t>
      </w:r>
      <w:r>
        <w:rPr>
          <w:rFonts w:ascii="Times New Roman" w:eastAsia="仿宋" w:hAnsi="Times New Roman" w:cs="仿宋" w:hint="eastAsia"/>
          <w:bCs/>
          <w:color w:val="000000" w:themeColor="text1"/>
          <w:sz w:val="30"/>
          <w:szCs w:val="30"/>
        </w:rPr>
        <w:lastRenderedPageBreak/>
        <w:t>加强行政执法体系和消费者维权信息化建设，完善“</w:t>
      </w:r>
      <w:r>
        <w:rPr>
          <w:rFonts w:ascii="Times New Roman" w:eastAsia="仿宋" w:hAnsi="Times New Roman" w:cs="仿宋" w:hint="eastAsia"/>
          <w:bCs/>
          <w:color w:val="000000" w:themeColor="text1"/>
          <w:sz w:val="30"/>
          <w:szCs w:val="30"/>
        </w:rPr>
        <w:t>12345</w:t>
      </w:r>
      <w:r>
        <w:rPr>
          <w:rFonts w:ascii="Times New Roman" w:eastAsia="仿宋" w:hAnsi="Times New Roman" w:cs="仿宋" w:hint="eastAsia"/>
          <w:bCs/>
          <w:color w:val="000000" w:themeColor="text1"/>
          <w:sz w:val="30"/>
          <w:szCs w:val="30"/>
        </w:rPr>
        <w:t>”市民服务平台功能，探索建立纠纷多元化解决机制，畅通消费者维权渠道，形成线上线下相结合的消费者维权服务体系，强化对消费者权益的行政保护。充分发挥媒体监督功能，加大对侵害消费者合法权益违法行为的曝光力度。</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8" w:lineRule="exact"/>
        <w:jc w:val="center"/>
        <w:outlineLvl w:val="1"/>
        <w:rPr>
          <w:rFonts w:ascii="Times New Roman" w:eastAsia="黑体" w:hAnsi="Times New Roman" w:cs="黑体"/>
          <w:bCs/>
          <w:sz w:val="32"/>
          <w:szCs w:val="32"/>
        </w:rPr>
      </w:pPr>
      <w:bookmarkStart w:id="355" w:name="_Toc6949"/>
      <w:bookmarkStart w:id="356" w:name="_Toc26537"/>
      <w:r>
        <w:rPr>
          <w:rFonts w:ascii="Times New Roman" w:eastAsia="黑体" w:hAnsi="Times New Roman" w:cs="黑体" w:hint="eastAsia"/>
          <w:bCs/>
          <w:sz w:val="32"/>
          <w:szCs w:val="32"/>
        </w:rPr>
        <w:t>第二十六章加强对外开放培育发展新引擎</w:t>
      </w:r>
      <w:bookmarkEnd w:id="355"/>
      <w:bookmarkEnd w:id="356"/>
    </w:p>
    <w:p w:rsidR="001328A6" w:rsidRDefault="001328A6">
      <w:pPr>
        <w:pStyle w:val="a0"/>
        <w:overflowPunct w:val="0"/>
        <w:spacing w:before="0" w:after="0" w:line="580" w:lineRule="exact"/>
        <w:outlineLvl w:val="9"/>
        <w:rPr>
          <w:rFonts w:ascii="Times New Roman" w:eastAsia="仿宋" w:hAnsi="Times New Roman" w:cs="仿宋"/>
          <w:b w:val="0"/>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持续优化贸易结构，积极开拓国外市场，聚焦自治区建设国家向北开放的重要桥头堡，提升外贸进出口规模，大力发展泛口岸经济，强化口岸与加工腹地的联动，以高水平开放促进高质量发展。</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357" w:name="_Toc3877"/>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358" w:name="_Toc2848"/>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扩大进出口规模</w:t>
      </w:r>
      <w:bookmarkEnd w:id="357"/>
      <w:bookmarkEnd w:id="358"/>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jc w:val="left"/>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jc w:val="left"/>
        <w:rPr>
          <w:rFonts w:ascii="Times New Roman" w:eastAsia="仿宋" w:hAnsi="Times New Roman" w:cs="仿宋"/>
          <w:bCs/>
          <w:sz w:val="30"/>
          <w:szCs w:val="30"/>
        </w:rPr>
      </w:pPr>
      <w:r>
        <w:rPr>
          <w:rFonts w:ascii="Times New Roman" w:eastAsia="仿宋" w:hAnsi="Times New Roman" w:cs="仿宋" w:hint="eastAsia"/>
          <w:bCs/>
          <w:sz w:val="30"/>
          <w:szCs w:val="30"/>
        </w:rPr>
        <w:t>扩大出口商品规模。在更大范围、更宽领域、更深层次上推进对外开放，加快实施优进优出战略，坚持对外投资和扩大出口相结合，推动外贸企业转型升级，提升出口商品质量和附加值，培育以技术、标准、品牌、质量、服务为核心的对外经济新优势。支持企业走出去开展工程承包和劳务合作，带动设备、材料、产品和服务出口。</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推动进口资源落地加工。依托乌海海关和国际陆港，推动“乌蒙欧”班列常态化开行，大力拓展双向货源，推动进口资源落地加</w:t>
      </w:r>
      <w:r>
        <w:rPr>
          <w:rFonts w:ascii="Times New Roman" w:eastAsia="仿宋" w:hAnsi="Times New Roman" w:cs="仿宋" w:hint="eastAsia"/>
          <w:bCs/>
          <w:color w:val="000000" w:themeColor="text1"/>
          <w:sz w:val="30"/>
          <w:szCs w:val="30"/>
        </w:rPr>
        <w:lastRenderedPageBreak/>
        <w:t>工、出口产品集聚集散，培育本地加工贸易企业，建设进出口加工基地，推动加工贸易产业链集聚化发展，把“过路经济”转变为“落地经济”。</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jc w:val="left"/>
        <w:rPr>
          <w:rFonts w:ascii="Times New Roman" w:eastAsia="仿宋" w:hAnsi="Times New Roman" w:cs="仿宋"/>
          <w:bCs/>
          <w:kern w:val="0"/>
          <w:sz w:val="30"/>
          <w:szCs w:val="30"/>
        </w:rPr>
      </w:pPr>
      <w:r>
        <w:rPr>
          <w:rFonts w:ascii="Times New Roman" w:eastAsia="仿宋" w:hAnsi="Times New Roman" w:cs="仿宋" w:hint="eastAsia"/>
          <w:bCs/>
          <w:sz w:val="30"/>
          <w:szCs w:val="30"/>
        </w:rPr>
        <w:t>扩大进口商品规模。丰富进口产品种类，鼓励企业运用进口贴息政策，根据生产对原材料的需求和技术升级的需要，</w:t>
      </w:r>
      <w:r>
        <w:rPr>
          <w:rFonts w:ascii="Times New Roman" w:eastAsia="仿宋" w:hAnsi="Times New Roman" w:cs="仿宋" w:hint="eastAsia"/>
          <w:bCs/>
          <w:color w:val="000000" w:themeColor="text1"/>
          <w:sz w:val="30"/>
          <w:szCs w:val="30"/>
        </w:rPr>
        <w:t>增加资源型产品、先进技术设备、关键零部件等短缺资源进口，努力打造西北地区能源、化工、环保、粮油等进口商品集散地。</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359" w:name="_Toc28633"/>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360" w:name="_Toc18153"/>
      <w:r>
        <w:rPr>
          <w:rFonts w:ascii="Times New Roman" w:eastAsia="楷体" w:hAnsi="Times New Roman" w:cs="楷体" w:hint="eastAsia"/>
          <w:bCs/>
          <w:sz w:val="32"/>
          <w:szCs w:val="32"/>
        </w:rPr>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开拓国外市场</w:t>
      </w:r>
      <w:bookmarkEnd w:id="359"/>
      <w:bookmarkEnd w:id="360"/>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z w:val="30"/>
          <w:szCs w:val="30"/>
        </w:rPr>
        <w:t>推动进出口市场多元化。</w:t>
      </w:r>
      <w:r>
        <w:rPr>
          <w:rFonts w:ascii="Times New Roman" w:eastAsia="仿宋" w:hAnsi="Times New Roman" w:cs="仿宋" w:hint="eastAsia"/>
          <w:bCs/>
          <w:color w:val="000000" w:themeColor="text1"/>
          <w:sz w:val="30"/>
          <w:szCs w:val="30"/>
        </w:rPr>
        <w:t>进一步开拓国际市场，在巩</w:t>
      </w:r>
      <w:r>
        <w:rPr>
          <w:rFonts w:ascii="Times New Roman" w:eastAsia="仿宋" w:hAnsi="Times New Roman" w:cs="仿宋" w:hint="eastAsia"/>
          <w:bCs/>
          <w:sz w:val="30"/>
          <w:szCs w:val="30"/>
        </w:rPr>
        <w:t>固挖掘俄蒙欧等市场的基础上，鼓励企业重点开拓“一带一路”沿线国家和地区市场，支持企业参加国内外各类专业展会。推动企业组团赴境外参展，重点推介优势产业和品牌商品。制定境外营销网络建设促进政策，支持有条件的企业构建境外营销网络，促进跨境电商发展，培育跨境电商平台，支持企业在目标市场和国际贸易中转地建立海外仓和分拨中心。</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636"/>
        <w:jc w:val="left"/>
        <w:rPr>
          <w:rFonts w:ascii="Times New Roman" w:eastAsia="仿宋" w:hAnsi="Times New Roman" w:cs="仿宋"/>
          <w:bCs/>
          <w:sz w:val="30"/>
          <w:szCs w:val="30"/>
        </w:rPr>
      </w:pPr>
      <w:r>
        <w:rPr>
          <w:rFonts w:ascii="Times New Roman" w:eastAsia="仿宋" w:hAnsi="Times New Roman" w:cs="仿宋" w:hint="eastAsia"/>
          <w:bCs/>
          <w:sz w:val="30"/>
          <w:szCs w:val="30"/>
        </w:rPr>
        <w:t>培育壮大外贸主体。实施外贸主体培育壮大工程，建立健全外贸企业孵化培育机制，加快培育一批潜力型、成长型外贸企业，支持和推动本地特色外贸综合服务企业发展，积极申报建设国家外贸转型升级基地。制定外贸企业入驻标准和优惠政策，吸引周</w:t>
      </w:r>
      <w:r>
        <w:rPr>
          <w:rFonts w:ascii="Times New Roman" w:eastAsia="仿宋" w:hAnsi="Times New Roman" w:cs="仿宋" w:hint="eastAsia"/>
          <w:bCs/>
          <w:spacing w:val="6"/>
          <w:sz w:val="30"/>
          <w:szCs w:val="30"/>
        </w:rPr>
        <w:t>边地区更多优质外贸企业在我市注册，提升外贸企业整体发展水平。</w:t>
      </w: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color w:val="000000" w:themeColor="text1"/>
          <w:sz w:val="32"/>
          <w:szCs w:val="32"/>
        </w:rPr>
      </w:pPr>
      <w:bookmarkStart w:id="361" w:name="_Toc29599"/>
      <w:bookmarkStart w:id="362" w:name="_Toc28666"/>
      <w:bookmarkStart w:id="363" w:name="_Toc7890"/>
      <w:r>
        <w:rPr>
          <w:rFonts w:ascii="Times New Roman" w:eastAsia="楷体" w:hAnsi="Times New Roman" w:cs="楷体" w:hint="eastAsia"/>
          <w:bCs/>
          <w:color w:val="000000" w:themeColor="text1"/>
          <w:sz w:val="32"/>
          <w:szCs w:val="32"/>
        </w:rPr>
        <w:lastRenderedPageBreak/>
        <w:t>第三节</w:t>
      </w:r>
      <w:r>
        <w:rPr>
          <w:rFonts w:ascii="Times New Roman" w:eastAsia="楷体" w:hAnsi="Times New Roman" w:cs="楷体" w:hint="eastAsia"/>
          <w:bCs/>
          <w:color w:val="000000" w:themeColor="text1"/>
          <w:sz w:val="32"/>
          <w:szCs w:val="32"/>
        </w:rPr>
        <w:t xml:space="preserve"> </w:t>
      </w:r>
      <w:r>
        <w:rPr>
          <w:rFonts w:ascii="Times New Roman" w:eastAsia="楷体" w:hAnsi="Times New Roman" w:cs="楷体" w:hint="eastAsia"/>
          <w:bCs/>
          <w:color w:val="000000" w:themeColor="text1"/>
          <w:sz w:val="32"/>
          <w:szCs w:val="32"/>
        </w:rPr>
        <w:t>积极融入“一带一路”建设</w:t>
      </w:r>
      <w:bookmarkEnd w:id="361"/>
      <w:bookmarkEnd w:id="362"/>
      <w:bookmarkEnd w:id="363"/>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积极拓宽对外合作领域。深度参与中蒙俄经济走廊建设，积极参与和融入“一带一路”建设，加强煤焦化工、氯碱化工、精细化工、医药生物、氢能源、矿产资源开发等领域的合作，不断深化与“一带一路”沿线地区的贸易往来。推动乌海与中东欧国家开展深度合作，鼓励企业参与中东欧经贸合作，力争在双边贸易、双向投资、人文交流等方面取得明显突破。</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提升口岸经济发展新水平。推动乌海市大宗商品综合保税区建设，依托策克、甘其毛都、乌力吉等周边口岸，打通进口蒙古国煤炭通道，逐步打通连接策克、乌力吉口岸的便捷铁路运输通道，提升利用率和落地深加工能力，推进蒙古国煤炭交易平台建设，构建蒙古国煤炭“一站式”服务中心。融入自治区泛口岸西部组团发展，持续强化口岸与加工腹地的联动，探索建设煤炭、木材等工矿产品跨境大宗商品贸易带，发挥我市在向北开放战略中的支点作用。</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努力构建国际交流合作新格局。打造文化旅游融合品牌，推动葡萄酒产业国际化，持续办好中国</w:t>
      </w:r>
      <w:r>
        <w:rPr>
          <w:rFonts w:ascii="Times New Roman" w:eastAsia="仿宋" w:hAnsi="Times New Roman" w:cs="Times New Roman"/>
          <w:b/>
          <w:spacing w:val="-34"/>
          <w:sz w:val="30"/>
          <w:szCs w:val="30"/>
        </w:rPr>
        <w:t>·</w:t>
      </w:r>
      <w:r>
        <w:rPr>
          <w:rFonts w:ascii="Times New Roman" w:eastAsia="仿宋" w:hAnsi="Times New Roman" w:cs="仿宋" w:hint="eastAsia"/>
          <w:bCs/>
          <w:color w:val="000000" w:themeColor="text1"/>
          <w:sz w:val="30"/>
          <w:szCs w:val="30"/>
        </w:rPr>
        <w:t>乌海“一带一路”世界沙漠葡萄酒文化旅游节，积极组织参加国内外葡萄酒展会和国际性旅游推介活动，不断深化国际文化交流与合作。进一步加强与克罗地亚欧普森市和斯力维诺市友好城市的合作交流，积极开拓与“一带一路”沿线国家城市的友好往来，推动友好城市间开展多层次、宽领域的实质性交流与合作。</w:t>
      </w: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1"/>
        <w:rPr>
          <w:rFonts w:ascii="Times New Roman" w:eastAsia="黑体" w:hAnsi="Times New Roman" w:cs="黑体"/>
          <w:bCs/>
          <w:sz w:val="32"/>
          <w:szCs w:val="32"/>
        </w:rPr>
      </w:pPr>
      <w:bookmarkStart w:id="364" w:name="_Toc32039"/>
      <w:bookmarkStart w:id="365" w:name="_Toc20942"/>
      <w:bookmarkStart w:id="366" w:name="_Toc10742"/>
      <w:r>
        <w:rPr>
          <w:rFonts w:ascii="Times New Roman" w:eastAsia="黑体" w:hAnsi="Times New Roman" w:cs="黑体" w:hint="eastAsia"/>
          <w:bCs/>
          <w:sz w:val="32"/>
          <w:szCs w:val="32"/>
        </w:rPr>
        <w:lastRenderedPageBreak/>
        <w:t>第二十七章</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深化区域合作实现资源要素宽领域配置</w:t>
      </w:r>
      <w:bookmarkEnd w:id="364"/>
      <w:bookmarkEnd w:id="365"/>
      <w:bookmarkEnd w:id="366"/>
    </w:p>
    <w:p w:rsidR="001328A6" w:rsidRDefault="001328A6">
      <w:pPr>
        <w:pStyle w:val="a0"/>
        <w:overflowPunct w:val="0"/>
        <w:spacing w:before="0" w:after="0" w:line="580" w:lineRule="exact"/>
        <w:outlineLvl w:val="9"/>
        <w:rPr>
          <w:rFonts w:ascii="Times New Roman" w:eastAsia="仿宋" w:hAnsi="Times New Roman" w:cs="仿宋"/>
          <w:b w:val="0"/>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围绕优势互补、协同发展，有效对接国家重大区域战略，积极融入黄河流域生态保护和高质量发展，统筹谋划乌海及周边地区协同发展，进一步深化区域合作，让协调成为内生特点，更好地服务融入国内大循环。</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367" w:name="_Toc8962"/>
      <w:bookmarkStart w:id="368" w:name="_Toc27355"/>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369" w:name="_Toc29148"/>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融入黄河流域生态保护和高质量发展战略</w:t>
      </w:r>
      <w:bookmarkEnd w:id="367"/>
      <w:bookmarkEnd w:id="368"/>
      <w:bookmarkEnd w:id="369"/>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sz w:val="30"/>
          <w:szCs w:val="30"/>
        </w:rPr>
        <w:t>积极推动黄河流域生态保护。加强黄河上下游、左右岸协同合作，实施一批重大生态</w:t>
      </w:r>
      <w:r>
        <w:rPr>
          <w:rFonts w:ascii="Times New Roman" w:eastAsia="仿宋" w:hAnsi="Times New Roman" w:cs="仿宋" w:hint="eastAsia"/>
          <w:bCs/>
          <w:color w:val="000000" w:themeColor="text1"/>
          <w:sz w:val="30"/>
          <w:szCs w:val="30"/>
        </w:rPr>
        <w:t>保护与修复项目，推进沿黄生态廊道建设，做好水土保持、水源地保护等各项工作，共同抓好黄河大保护。进一步增强黄河流域污染防治协作力度，完善生态连片治理、环境污染联防共治体制机制，继续推动绿色矿山建设，做好水气土各类污染综合治理、系统治理和源头治理，协同推进黄河大治理，共同打造生态优美、可持续发展的黄金经济带。</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pacing w:val="-6"/>
          <w:sz w:val="30"/>
          <w:szCs w:val="30"/>
        </w:rPr>
      </w:pPr>
      <w:r>
        <w:rPr>
          <w:rFonts w:ascii="Times New Roman" w:eastAsia="仿宋" w:hAnsi="Times New Roman" w:cs="仿宋" w:hint="eastAsia"/>
          <w:bCs/>
          <w:color w:val="000000" w:themeColor="text1"/>
          <w:sz w:val="30"/>
          <w:szCs w:val="30"/>
        </w:rPr>
        <w:t>共同推动黄河流域经济高质量发展。积极融入黄河几字弯都市圈、呼包银榆经济区、呼包鄂榆城市群、呼包鄂乌城市群，立足我市的产业特点，加强与周边区域产业分工协作和产业链条有序衔接，着力形成传统产业互补、优势产业合作、新兴产业共建、错位差异化发展的新格局。积极融入区域协同发展，共同推进基础设</w:t>
      </w:r>
      <w:r>
        <w:rPr>
          <w:rFonts w:ascii="Times New Roman" w:eastAsia="仿宋" w:hAnsi="Times New Roman" w:cs="仿宋" w:hint="eastAsia"/>
          <w:bCs/>
          <w:color w:val="000000" w:themeColor="text1"/>
          <w:spacing w:val="-6"/>
          <w:sz w:val="30"/>
          <w:szCs w:val="30"/>
        </w:rPr>
        <w:t>施互通、公共服务共享、生态环境共治，推动区域合作向高质量迈进。</w:t>
      </w: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370" w:name="_Toc8617"/>
      <w:bookmarkStart w:id="371" w:name="_Toc29831"/>
      <w:bookmarkStart w:id="372" w:name="_Toc14440"/>
      <w:r>
        <w:rPr>
          <w:rFonts w:ascii="Times New Roman" w:eastAsia="楷体" w:hAnsi="Times New Roman" w:cs="楷体" w:hint="eastAsia"/>
          <w:bCs/>
          <w:sz w:val="32"/>
          <w:szCs w:val="32"/>
        </w:rPr>
        <w:lastRenderedPageBreak/>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对接国家重大区域经济合作战略</w:t>
      </w:r>
      <w:bookmarkEnd w:id="370"/>
      <w:bookmarkEnd w:id="371"/>
      <w:bookmarkEnd w:id="372"/>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jc w:val="left"/>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jc w:val="left"/>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积极融入京津冀协同发展、长江经济带发展、粤港澳大湾区建设等国家层面的重大区域战略，密切交流合作，促进区域资金、产业、科技、人才、政策、信息等要素资源的有效对接共享。积极承接产业转移，建立开放平台对接机制，合作共建产业转移园区，共同打造项目孵化、人才培养、市场拓展等高水平产业承接平台，推动一批发展前景好、带动能力强的大项目、好项目落户乌海，助推我市经济结构调整和经济发展方式转变。引入优质教育、医疗、科技等公共服务资源，提升基本公共服务水平。探索发展“飞地经济”，推行产业飞地、科创飞地等发展模式，融入国内产业和科创大循环，推进产业转移和科技成果转化，实现借力发展。</w:t>
      </w:r>
      <w:bookmarkStart w:id="373" w:name="_Toc4865"/>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374" w:name="_Toc26552"/>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375" w:name="_Toc15227"/>
      <w:r>
        <w:rPr>
          <w:rFonts w:ascii="Times New Roman" w:eastAsia="楷体" w:hAnsi="Times New Roman" w:cs="楷体" w:hint="eastAsia"/>
          <w:bCs/>
          <w:sz w:val="32"/>
          <w:szCs w:val="32"/>
        </w:rPr>
        <w:t>第三节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推动乌海及周边地区协同发展</w:t>
      </w:r>
      <w:bookmarkEnd w:id="373"/>
      <w:bookmarkEnd w:id="374"/>
      <w:bookmarkEnd w:id="375"/>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以合作共赢的理念、统筹的方法、市场化的手段，突出优势互补，创新体制机制，围绕产业协作、要素互济、市场共享、交通互联、生态协防、环境共治、公共服务共享等重点领域，从更高层次更大空间推动我市及周边地区协同发展。着力引导资源要素向工业园区、重点区域集中集聚，带动周边地区转型发展，构建区域联动协作、城乡融合发展、优势充分发挥的协调发展新格局。协同推进跨区域交通、油气、电力、信息等基础设施建设，加快形成互联互</w:t>
      </w:r>
      <w:r>
        <w:rPr>
          <w:rFonts w:ascii="Times New Roman" w:eastAsia="仿宋" w:hAnsi="Times New Roman" w:cs="仿宋" w:hint="eastAsia"/>
          <w:bCs/>
          <w:color w:val="000000" w:themeColor="text1"/>
          <w:sz w:val="30"/>
          <w:szCs w:val="30"/>
        </w:rPr>
        <w:lastRenderedPageBreak/>
        <w:t>通、分工合作、管理协同的基础设施体系。强化生态协同防治，健全区域环境治理联动机制，推动区域大气污染联防联控联治、固废危废污染综合防治，共同建设绿色“小三角”。深入实施创新驱动战略，协同推进科技成果转移转化，共建产业创新平台，促进创新链与产业链深度融合，构建区域创新共同体。在区域内探索建立统一社会保障体系和基本公共服务供给标准，持续增强区域人口、资源、资金等要素集聚能力。</w:t>
      </w:r>
    </w:p>
    <w:p w:rsidR="001328A6" w:rsidRDefault="007F3236">
      <w:pPr>
        <w:overflowPunct w:val="0"/>
        <w:spacing w:line="580" w:lineRule="exact"/>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br w:type="page"/>
      </w:r>
    </w:p>
    <w:p w:rsidR="001328A6" w:rsidRDefault="007F3236">
      <w:pPr>
        <w:overflowPunct w:val="0"/>
        <w:spacing w:line="580" w:lineRule="exact"/>
        <w:jc w:val="center"/>
        <w:outlineLvl w:val="0"/>
        <w:rPr>
          <w:rFonts w:ascii="方正小标宋简体" w:eastAsia="方正小标宋简体" w:hAnsi="方正小标宋简体" w:cs="方正小标宋简体"/>
          <w:bCs/>
          <w:sz w:val="32"/>
          <w:szCs w:val="32"/>
        </w:rPr>
      </w:pPr>
      <w:bookmarkStart w:id="376" w:name="_Toc29048"/>
      <w:bookmarkStart w:id="377" w:name="_Toc22988"/>
      <w:r>
        <w:rPr>
          <w:rFonts w:ascii="方正小标宋简体" w:eastAsia="方正小标宋简体" w:hAnsi="方正小标宋简体" w:cs="方正小标宋简体" w:hint="eastAsia"/>
          <w:bCs/>
          <w:sz w:val="32"/>
          <w:szCs w:val="32"/>
        </w:rPr>
        <w:lastRenderedPageBreak/>
        <w:t>第八篇  深化体制机制改革释放更多发展潜力</w:t>
      </w:r>
      <w:bookmarkEnd w:id="376"/>
      <w:bookmarkEnd w:id="377"/>
    </w:p>
    <w:p w:rsidR="001328A6" w:rsidRDefault="001328A6">
      <w:pPr>
        <w:pStyle w:val="a0"/>
        <w:overflowPunct w:val="0"/>
        <w:spacing w:before="0" w:after="0" w:line="580" w:lineRule="exact"/>
        <w:outlineLvl w:val="9"/>
        <w:rPr>
          <w:rFonts w:ascii="Times New Roman" w:eastAsia="仿宋" w:hAnsi="Times New Roman" w:cs="仿宋"/>
          <w:b w:val="0"/>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FF0000"/>
          <w:sz w:val="30"/>
          <w:szCs w:val="30"/>
        </w:rPr>
      </w:pPr>
      <w:r>
        <w:rPr>
          <w:rFonts w:ascii="Times New Roman" w:eastAsia="仿宋" w:hAnsi="Times New Roman" w:cs="仿宋" w:hint="eastAsia"/>
          <w:bCs/>
          <w:color w:val="000000" w:themeColor="text1"/>
          <w:sz w:val="30"/>
          <w:szCs w:val="30"/>
        </w:rPr>
        <w:t>深入贯彻落实习近平总书记“深化体制机制改革，增添经济发展活力和动力”的重要指示要求，统筹推进深层次改革、内源性创新，加强改革举措系统集成、协同高效，着力提高改革行动能力，建立完善产权保护、平等准入、公平竞争、诚信守法等领域的制度体系，破除一切不利于经济社会发展的体制机制障碍，推动有效市场和有为政府更好结合、改革和发展深度融合，为高质量发展提供持续动力，发挥全面深化改革在构建新发展格局中的关键作用。</w:t>
      </w:r>
    </w:p>
    <w:p w:rsidR="001328A6" w:rsidRDefault="001328A6">
      <w:pPr>
        <w:pStyle w:val="a0"/>
        <w:overflowPunct w:val="0"/>
        <w:spacing w:before="0" w:after="0" w:line="580" w:lineRule="exact"/>
        <w:outlineLvl w:val="9"/>
        <w:rPr>
          <w:rFonts w:ascii="Times New Roman" w:eastAsia="仿宋" w:hAnsi="Times New Roman" w:cs="仿宋"/>
          <w:b w:val="0"/>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1"/>
        <w:rPr>
          <w:rFonts w:ascii="Times New Roman" w:eastAsia="黑体" w:hAnsi="Times New Roman" w:cs="黑体"/>
          <w:bCs/>
          <w:sz w:val="32"/>
          <w:szCs w:val="32"/>
        </w:rPr>
      </w:pPr>
      <w:bookmarkStart w:id="378" w:name="_Toc11887"/>
      <w:bookmarkStart w:id="379" w:name="_Toc17705"/>
      <w:r>
        <w:rPr>
          <w:rFonts w:ascii="Times New Roman" w:eastAsia="黑体" w:hAnsi="Times New Roman" w:cs="黑体" w:hint="eastAsia"/>
          <w:bCs/>
          <w:sz w:val="32"/>
          <w:szCs w:val="32"/>
        </w:rPr>
        <w:t>第二十八章</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激发市场主体活力培育壮大市场主体</w:t>
      </w:r>
      <w:bookmarkEnd w:id="378"/>
      <w:bookmarkEnd w:id="379"/>
    </w:p>
    <w:p w:rsidR="001328A6" w:rsidRDefault="001328A6">
      <w:pPr>
        <w:pStyle w:val="a0"/>
        <w:overflowPunct w:val="0"/>
        <w:spacing w:before="0" w:after="0" w:line="580" w:lineRule="exact"/>
        <w:outlineLvl w:val="9"/>
        <w:rPr>
          <w:rFonts w:ascii="Times New Roman" w:eastAsia="仿宋" w:hAnsi="Times New Roman" w:cs="仿宋"/>
          <w:b w:val="0"/>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jc w:val="left"/>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坚持两个“毫不动摇”，深化国资国企改革，做大做强民营经济，加快完善现代企业制度，不断激发市场主体活力，为建设现代化经济体系提供制度保障。</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380" w:name="_Toc7254"/>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381" w:name="_Toc14674"/>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分层分类深化国资国企改革</w:t>
      </w:r>
      <w:bookmarkEnd w:id="380"/>
      <w:bookmarkEnd w:id="381"/>
    </w:p>
    <w:p w:rsidR="001328A6" w:rsidRDefault="001328A6">
      <w:pPr>
        <w:pStyle w:val="a7"/>
        <w:pBdr>
          <w:top w:val="none" w:sz="0" w:space="1" w:color="auto"/>
          <w:left w:val="none" w:sz="0" w:space="4" w:color="auto"/>
          <w:bottom w:val="none" w:sz="0" w:space="1" w:color="auto"/>
          <w:right w:val="none" w:sz="0" w:space="4" w:color="auto"/>
        </w:pBdr>
        <w:overflowPunct w:val="0"/>
        <w:spacing w:after="0" w:line="580" w:lineRule="exact"/>
        <w:ind w:firstLine="641"/>
        <w:rPr>
          <w:rFonts w:ascii="Times New Roman" w:eastAsia="仿宋" w:hAnsi="Times New Roman" w:cs="仿宋"/>
          <w:bCs/>
          <w:sz w:val="30"/>
          <w:szCs w:val="30"/>
        </w:rPr>
      </w:pPr>
    </w:p>
    <w:p w:rsidR="001328A6" w:rsidRDefault="007F3236">
      <w:pPr>
        <w:pStyle w:val="a7"/>
        <w:pBdr>
          <w:top w:val="none" w:sz="0" w:space="1" w:color="auto"/>
          <w:left w:val="none" w:sz="0" w:space="4" w:color="auto"/>
          <w:bottom w:val="none" w:sz="0" w:space="1" w:color="auto"/>
          <w:right w:val="none" w:sz="0" w:space="4" w:color="auto"/>
        </w:pBdr>
        <w:overflowPunct w:val="0"/>
        <w:spacing w:after="0" w:line="580" w:lineRule="exact"/>
        <w:ind w:firstLine="641"/>
        <w:rPr>
          <w:rFonts w:ascii="Times New Roman" w:eastAsia="仿宋" w:hAnsi="Times New Roman" w:cs="仿宋"/>
          <w:bCs/>
          <w:sz w:val="30"/>
          <w:szCs w:val="30"/>
        </w:rPr>
      </w:pPr>
      <w:r>
        <w:rPr>
          <w:rFonts w:ascii="Times New Roman" w:eastAsia="仿宋" w:hAnsi="Times New Roman" w:cs="仿宋" w:hint="eastAsia"/>
          <w:bCs/>
          <w:sz w:val="30"/>
          <w:szCs w:val="30"/>
        </w:rPr>
        <w:t>推动国有资本合理流动优化配置。构建以管资本为主的国有资产管理体制，稳步推进国有企业战略性重组整合，改组设立国有资本投资、运营公司。加强产业链上下游企业并购重组，推动国有资本向战略性新兴产业领域集中，做强做优做大国有资本和国有企业。</w:t>
      </w:r>
    </w:p>
    <w:p w:rsidR="001328A6" w:rsidRDefault="007F3236">
      <w:pPr>
        <w:pStyle w:val="a7"/>
        <w:pBdr>
          <w:top w:val="none" w:sz="0" w:space="1" w:color="auto"/>
          <w:left w:val="none" w:sz="0" w:space="4" w:color="auto"/>
          <w:bottom w:val="none" w:sz="0" w:space="1" w:color="auto"/>
          <w:right w:val="none" w:sz="0" w:space="4" w:color="auto"/>
        </w:pBdr>
        <w:overflowPunct w:val="0"/>
        <w:spacing w:after="0" w:line="580" w:lineRule="exact"/>
        <w:ind w:firstLine="641"/>
        <w:rPr>
          <w:rFonts w:ascii="Times New Roman" w:eastAsia="仿宋" w:hAnsi="Times New Roman" w:cs="仿宋"/>
          <w:bCs/>
          <w:sz w:val="30"/>
          <w:szCs w:val="30"/>
        </w:rPr>
      </w:pPr>
      <w:r>
        <w:rPr>
          <w:rFonts w:ascii="Times New Roman" w:eastAsia="仿宋" w:hAnsi="Times New Roman" w:cs="仿宋" w:hint="eastAsia"/>
          <w:bCs/>
          <w:sz w:val="30"/>
          <w:szCs w:val="30"/>
        </w:rPr>
        <w:lastRenderedPageBreak/>
        <w:t>加强国有资产监管。坚持“一企一策”，推进分类授权放权，着力提升国资监管质量和效能，促进国有资产保值增值。按照“巩固提升一批、创新发展一批、重组整合一批、清理退出一批”的总体思路，适时整合有效资产，盘活闲置资产，改变国有企业资产不实状况，合并同质同类、业务重叠的企业，不断增强企业经营实力和造血功能。推动融资平台企业向实体、实业转型，退出不具有发展优势的非主营业务。</w:t>
      </w:r>
    </w:p>
    <w:p w:rsidR="001328A6" w:rsidRDefault="007F3236">
      <w:pPr>
        <w:pStyle w:val="a7"/>
        <w:pBdr>
          <w:top w:val="none" w:sz="0" w:space="1" w:color="auto"/>
          <w:left w:val="none" w:sz="0" w:space="4" w:color="auto"/>
          <w:bottom w:val="none" w:sz="0" w:space="1" w:color="auto"/>
          <w:right w:val="none" w:sz="0" w:space="4" w:color="auto"/>
        </w:pBdr>
        <w:overflowPunct w:val="0"/>
        <w:spacing w:after="0" w:line="580" w:lineRule="exact"/>
        <w:ind w:firstLine="641"/>
        <w:rPr>
          <w:rFonts w:ascii="Times New Roman" w:eastAsia="仿宋" w:hAnsi="Times New Roman" w:cs="仿宋"/>
          <w:bCs/>
          <w:sz w:val="30"/>
          <w:szCs w:val="30"/>
        </w:rPr>
      </w:pPr>
      <w:r>
        <w:rPr>
          <w:rFonts w:ascii="Times New Roman" w:eastAsia="仿宋" w:hAnsi="Times New Roman" w:cs="仿宋" w:hint="eastAsia"/>
          <w:bCs/>
          <w:color w:val="000000"/>
          <w:sz w:val="30"/>
          <w:szCs w:val="30"/>
        </w:rPr>
        <w:t>深化国有企业混合制改革。</w:t>
      </w:r>
      <w:r>
        <w:rPr>
          <w:rFonts w:ascii="Times New Roman" w:eastAsia="仿宋" w:hAnsi="Times New Roman" w:cs="仿宋" w:hint="eastAsia"/>
          <w:bCs/>
          <w:spacing w:val="6"/>
          <w:sz w:val="30"/>
          <w:szCs w:val="30"/>
        </w:rPr>
        <w:t>因企施策，进一步优化国有企业股权结构，通过上市、增资扩股、员工持股等多种有效途径推进国有企业混合所有制改革。健全企业法人治理结构，剥离国有企业办社会职能，促进混合所有制企业经营机制转变。推动</w:t>
      </w:r>
      <w:r>
        <w:rPr>
          <w:rFonts w:ascii="Times New Roman" w:eastAsia="仿宋" w:hAnsi="Times New Roman" w:cs="仿宋" w:hint="eastAsia"/>
          <w:bCs/>
          <w:color w:val="000000"/>
          <w:spacing w:val="6"/>
          <w:sz w:val="30"/>
          <w:szCs w:val="30"/>
        </w:rPr>
        <w:t>国有企业树立市场化经营理念，</w:t>
      </w:r>
      <w:r>
        <w:rPr>
          <w:rFonts w:ascii="Times New Roman" w:eastAsia="仿宋" w:hAnsi="Times New Roman" w:cs="仿宋" w:hint="eastAsia"/>
          <w:bCs/>
          <w:spacing w:val="6"/>
          <w:sz w:val="30"/>
          <w:szCs w:val="30"/>
        </w:rPr>
        <w:t>健全国有企业经理层成员任期制和契约化管理，探索推行职业经理人制度，</w:t>
      </w:r>
      <w:bookmarkStart w:id="382" w:name="_Toc15398"/>
      <w:r>
        <w:rPr>
          <w:rFonts w:ascii="Times New Roman" w:eastAsia="仿宋" w:hAnsi="Times New Roman" w:cs="仿宋" w:hint="eastAsia"/>
          <w:bCs/>
          <w:spacing w:val="6"/>
          <w:sz w:val="30"/>
          <w:szCs w:val="30"/>
        </w:rPr>
        <w:t>建立长效激励</w:t>
      </w:r>
      <w:r>
        <w:rPr>
          <w:rFonts w:ascii="Times New Roman" w:eastAsia="仿宋" w:hAnsi="Times New Roman" w:cs="仿宋" w:hint="eastAsia"/>
          <w:bCs/>
          <w:spacing w:val="-6"/>
          <w:sz w:val="30"/>
          <w:szCs w:val="30"/>
        </w:rPr>
        <w:t>约束机制和员工利益共享机制，激发企业活力，增强核心竞争力。</w:t>
      </w:r>
      <w:bookmarkEnd w:id="382"/>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383" w:name="_Toc2537"/>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384" w:name="_Toc24203"/>
      <w:r>
        <w:rPr>
          <w:rFonts w:ascii="Times New Roman" w:eastAsia="楷体" w:hAnsi="Times New Roman" w:cs="楷体" w:hint="eastAsia"/>
          <w:bCs/>
          <w:sz w:val="32"/>
          <w:szCs w:val="32"/>
        </w:rPr>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做大做强民营企业</w:t>
      </w:r>
      <w:bookmarkEnd w:id="383"/>
      <w:bookmarkEnd w:id="384"/>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完善精准有效的政策环境。着力减轻民营企业税费负担，降低企业运营成本。加大民营企业直接融资支持力度，健全民营企业融资增信支持体系，推动设立企业流动性风险防控基金和纾困发展基金，切实解决民营企业融资难融资贵等突出问题。健全清理和防止拖欠民营企业账款长效机制，加强对拖欠民营企业、中小企业账款</w:t>
      </w:r>
      <w:r>
        <w:rPr>
          <w:rFonts w:ascii="Times New Roman" w:eastAsia="仿宋" w:hAnsi="Times New Roman" w:cs="仿宋" w:hint="eastAsia"/>
          <w:bCs/>
          <w:color w:val="000000" w:themeColor="text1"/>
          <w:sz w:val="30"/>
          <w:szCs w:val="30"/>
        </w:rPr>
        <w:lastRenderedPageBreak/>
        <w:t>问题的约束惩戒。</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58" w:lineRule="exact"/>
        <w:ind w:firstLineChars="200" w:firstLine="600"/>
        <w:jc w:val="left"/>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营造公平竞争的市场环境。破除制约民营企业参与市场竞争的各类障碍和隐性壁垒，切实消除在要素获取、准入许可、市场监管、招投标等方面的不平等待遇，进一步激发民营企业活力和创造力。保护民营企业合法权益，创新民营企业服务模式，促进民营经济持续健康发展。</w:t>
      </w:r>
    </w:p>
    <w:p w:rsidR="001328A6" w:rsidRDefault="001328A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8" w:lineRule="exact"/>
        <w:jc w:val="center"/>
        <w:outlineLvl w:val="1"/>
        <w:rPr>
          <w:rFonts w:ascii="Times New Roman" w:eastAsia="黑体" w:hAnsi="Times New Roman" w:cs="黑体"/>
          <w:bCs/>
          <w:sz w:val="32"/>
          <w:szCs w:val="32"/>
        </w:rPr>
      </w:pPr>
      <w:bookmarkStart w:id="385" w:name="_Toc27212"/>
      <w:bookmarkStart w:id="386" w:name="_Toc15473"/>
      <w:r>
        <w:rPr>
          <w:rFonts w:ascii="Times New Roman" w:eastAsia="黑体" w:hAnsi="Times New Roman" w:cs="黑体" w:hint="eastAsia"/>
          <w:bCs/>
          <w:sz w:val="32"/>
          <w:szCs w:val="32"/>
        </w:rPr>
        <w:t>第二十九章</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推进财政金融改革提高风险防控能力</w:t>
      </w:r>
      <w:bookmarkEnd w:id="385"/>
      <w:bookmarkEnd w:id="386"/>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558"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加快推进财税体制改革，重视税源培育，加大预算公开改革力度，推进市、区两级财政事权和支出责任划分改革，规范地方政府举债融资机制。构建金融有效支持实体经济的体制机制，完善金融组织体系，加强金融风险防控。</w:t>
      </w:r>
    </w:p>
    <w:p w:rsidR="001328A6" w:rsidRDefault="001328A6">
      <w:pPr>
        <w:pBdr>
          <w:top w:val="none" w:sz="0" w:space="1" w:color="auto"/>
          <w:left w:val="none" w:sz="0" w:space="4" w:color="auto"/>
          <w:bottom w:val="none" w:sz="0" w:space="1" w:color="auto"/>
          <w:right w:val="none" w:sz="0" w:space="4" w:color="auto"/>
        </w:pBdr>
        <w:overflowPunct w:val="0"/>
        <w:spacing w:line="558" w:lineRule="exact"/>
        <w:jc w:val="center"/>
        <w:rPr>
          <w:rFonts w:ascii="Times New Roman" w:eastAsia="仿宋" w:hAnsi="Times New Roman" w:cs="仿宋"/>
          <w:bCs/>
          <w:sz w:val="30"/>
          <w:szCs w:val="30"/>
        </w:rPr>
      </w:pPr>
      <w:bookmarkStart w:id="387" w:name="_Toc8449"/>
    </w:p>
    <w:p w:rsidR="001328A6" w:rsidRDefault="007F3236">
      <w:pPr>
        <w:pBdr>
          <w:top w:val="none" w:sz="0" w:space="1" w:color="auto"/>
          <w:left w:val="none" w:sz="0" w:space="4" w:color="auto"/>
          <w:bottom w:val="none" w:sz="0" w:space="1" w:color="auto"/>
          <w:right w:val="none" w:sz="0" w:space="4" w:color="auto"/>
        </w:pBdr>
        <w:overflowPunct w:val="0"/>
        <w:spacing w:line="558" w:lineRule="exact"/>
        <w:jc w:val="center"/>
        <w:outlineLvl w:val="2"/>
        <w:rPr>
          <w:rFonts w:ascii="Times New Roman" w:eastAsia="楷体" w:hAnsi="Times New Roman" w:cs="楷体"/>
          <w:bCs/>
          <w:sz w:val="32"/>
          <w:szCs w:val="32"/>
        </w:rPr>
      </w:pPr>
      <w:bookmarkStart w:id="388" w:name="_Toc509"/>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推进财税体制改革</w:t>
      </w:r>
      <w:bookmarkEnd w:id="387"/>
      <w:bookmarkEnd w:id="388"/>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558" w:lineRule="exact"/>
        <w:ind w:firstLineChars="200" w:firstLine="600"/>
        <w:jc w:val="left"/>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58" w:lineRule="exact"/>
        <w:ind w:firstLineChars="200" w:firstLine="600"/>
        <w:jc w:val="left"/>
        <w:rPr>
          <w:rFonts w:ascii="Times New Roman" w:eastAsia="仿宋" w:hAnsi="Times New Roman" w:cs="仿宋"/>
          <w:bCs/>
          <w:sz w:val="30"/>
          <w:szCs w:val="30"/>
        </w:rPr>
      </w:pPr>
      <w:r>
        <w:rPr>
          <w:rFonts w:ascii="Times New Roman" w:eastAsia="仿宋" w:hAnsi="Times New Roman" w:cs="仿宋" w:hint="eastAsia"/>
          <w:bCs/>
          <w:color w:val="000000" w:themeColor="text1"/>
          <w:sz w:val="30"/>
          <w:szCs w:val="30"/>
        </w:rPr>
        <w:t>加强税源培育。积极做好税源培育企业的帮扶、联系和监测，</w:t>
      </w:r>
      <w:r>
        <w:rPr>
          <w:rFonts w:ascii="Times New Roman" w:eastAsia="仿宋" w:hAnsi="Times New Roman" w:cs="仿宋" w:hint="eastAsia"/>
          <w:bCs/>
          <w:sz w:val="30"/>
          <w:szCs w:val="30"/>
        </w:rPr>
        <w:t>支持企业做大做强，增强经济发展后劲。建立市、区两级政府共抓税源建设的机制，营造良好财源培育环境，力争地方一般公共预算收入逐年增长。</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58" w:lineRule="exact"/>
        <w:ind w:firstLineChars="200" w:firstLine="600"/>
        <w:jc w:val="left"/>
        <w:rPr>
          <w:rFonts w:ascii="Times New Roman" w:eastAsia="仿宋" w:hAnsi="Times New Roman" w:cs="仿宋"/>
          <w:bCs/>
          <w:sz w:val="30"/>
          <w:szCs w:val="30"/>
        </w:rPr>
      </w:pPr>
      <w:r>
        <w:rPr>
          <w:rFonts w:ascii="Times New Roman" w:eastAsia="仿宋" w:hAnsi="Times New Roman" w:cs="仿宋" w:hint="eastAsia"/>
          <w:bCs/>
          <w:sz w:val="30"/>
          <w:szCs w:val="30"/>
        </w:rPr>
        <w:t>推进预算管理。推动一般公共预算、政府基金预算、国有资本经营预算、社会保险基金预算等政府全部收入和支出纳入预算，全面反映政府收支总量、结构和管理活动。强化财政规划对年度预算</w:t>
      </w:r>
      <w:r>
        <w:rPr>
          <w:rFonts w:ascii="Times New Roman" w:eastAsia="仿宋" w:hAnsi="Times New Roman" w:cs="仿宋" w:hint="eastAsia"/>
          <w:bCs/>
          <w:sz w:val="30"/>
          <w:szCs w:val="30"/>
        </w:rPr>
        <w:lastRenderedPageBreak/>
        <w:t>的约束性，着力推进预算管理和绩效管理融为一体，基本建成全方位、全过程、全覆盖的预算绩效管理体系。加快推进财政信息化建设，推行“互联网</w:t>
      </w:r>
      <w:r>
        <w:rPr>
          <w:rFonts w:ascii="Times New Roman" w:eastAsia="仿宋" w:hAnsi="Times New Roman" w:cs="仿宋" w:hint="eastAsia"/>
          <w:bCs/>
          <w:sz w:val="30"/>
          <w:szCs w:val="30"/>
        </w:rPr>
        <w:t>+</w:t>
      </w:r>
      <w:r>
        <w:rPr>
          <w:rFonts w:ascii="Times New Roman" w:eastAsia="仿宋" w:hAnsi="Times New Roman" w:cs="仿宋" w:hint="eastAsia"/>
          <w:bCs/>
          <w:sz w:val="30"/>
          <w:szCs w:val="30"/>
        </w:rPr>
        <w:t>政府采购”，稳步推进政府购买公共服务。</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58" w:lineRule="exact"/>
        <w:ind w:firstLineChars="200" w:firstLine="600"/>
        <w:jc w:val="left"/>
        <w:rPr>
          <w:rFonts w:ascii="Times New Roman" w:eastAsia="仿宋" w:hAnsi="Times New Roman" w:cs="仿宋"/>
          <w:bCs/>
          <w:sz w:val="30"/>
          <w:szCs w:val="30"/>
        </w:rPr>
      </w:pPr>
      <w:r>
        <w:rPr>
          <w:rFonts w:ascii="Times New Roman" w:eastAsia="仿宋" w:hAnsi="Times New Roman" w:cs="仿宋" w:hint="eastAsia"/>
          <w:bCs/>
          <w:sz w:val="30"/>
          <w:szCs w:val="30"/>
        </w:rPr>
        <w:t>加强政府债务管理。加强政府债务限额管理，继续加大力度化解地方政府存量债务，严禁违规举债、变相举债等行为。抢抓地方政府专项债券发行的机遇，谋划生态环保、乡村振兴和扶贫等公益性项目积极争取地方政府专项债券。加强政府债务风险预警管理，严格防范区域性和系统性风险的发生。</w:t>
      </w:r>
    </w:p>
    <w:p w:rsidR="001328A6" w:rsidRDefault="001328A6">
      <w:pPr>
        <w:pBdr>
          <w:top w:val="none" w:sz="0" w:space="1" w:color="auto"/>
          <w:left w:val="none" w:sz="0" w:space="4" w:color="auto"/>
          <w:bottom w:val="none" w:sz="0" w:space="1" w:color="auto"/>
          <w:right w:val="none" w:sz="0" w:space="4" w:color="auto"/>
        </w:pBdr>
        <w:overflowPunct w:val="0"/>
        <w:spacing w:line="558" w:lineRule="exact"/>
        <w:jc w:val="center"/>
        <w:rPr>
          <w:rFonts w:ascii="Times New Roman" w:eastAsia="仿宋" w:hAnsi="Times New Roman" w:cs="仿宋"/>
          <w:bCs/>
          <w:sz w:val="30"/>
          <w:szCs w:val="30"/>
        </w:rPr>
      </w:pPr>
      <w:bookmarkStart w:id="389" w:name="_Toc15286"/>
    </w:p>
    <w:p w:rsidR="001328A6" w:rsidRDefault="007F3236">
      <w:pPr>
        <w:pBdr>
          <w:top w:val="none" w:sz="0" w:space="1" w:color="auto"/>
          <w:left w:val="none" w:sz="0" w:space="4" w:color="auto"/>
          <w:bottom w:val="none" w:sz="0" w:space="1" w:color="auto"/>
          <w:right w:val="none" w:sz="0" w:space="4" w:color="auto"/>
        </w:pBdr>
        <w:overflowPunct w:val="0"/>
        <w:spacing w:line="558" w:lineRule="exact"/>
        <w:jc w:val="center"/>
        <w:outlineLvl w:val="2"/>
        <w:rPr>
          <w:rFonts w:ascii="Times New Roman" w:eastAsia="楷体" w:hAnsi="Times New Roman" w:cs="楷体"/>
          <w:bCs/>
          <w:sz w:val="32"/>
          <w:szCs w:val="32"/>
        </w:rPr>
      </w:pPr>
      <w:bookmarkStart w:id="390" w:name="_Toc31698"/>
      <w:r>
        <w:rPr>
          <w:rFonts w:ascii="Times New Roman" w:eastAsia="楷体" w:hAnsi="Times New Roman" w:cs="楷体" w:hint="eastAsia"/>
          <w:bCs/>
          <w:sz w:val="32"/>
          <w:szCs w:val="32"/>
        </w:rPr>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推动金融体制改革</w:t>
      </w:r>
      <w:bookmarkEnd w:id="389"/>
      <w:bookmarkEnd w:id="390"/>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558" w:lineRule="exact"/>
        <w:ind w:firstLineChars="200" w:firstLine="600"/>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58"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z w:val="30"/>
          <w:szCs w:val="30"/>
        </w:rPr>
        <w:t>防范化解金融风险。完善地方金融监管体制，提高监管有效性，严守不发生系统性、区域性金融风险底线。运用风险防控联席会议机制，强化对金融风险的研判，平稳有序处置高风险金融机构风险。规范地方金融组织发展，开展金融机构不良资产清收专项行动。整顿规范金融秩序，防范和处置非法集资引发的区域性、系统性风险。</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58"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z w:val="30"/>
          <w:szCs w:val="30"/>
        </w:rPr>
        <w:t>提高直接融资比重。大力培育和发展多层次资本市场，推动企业发展。建立完善支持优质企业上市、挂牌融资的激励机制，加大资本市场培训力度，落实奖补政策，探索建立企业上市（资本）服务团，推动更多企业实现上市融资。加强债券市场融资，引导企业综合运用企业债券、公司债券等融资工具，降低融资成本。综合运用资产证券化等方式加大融资供给。推动组建市场化产业基金。</w:t>
      </w:r>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bookmarkStart w:id="391" w:name="_Toc7117"/>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1"/>
        <w:rPr>
          <w:rFonts w:ascii="Times New Roman" w:eastAsia="黑体" w:hAnsi="Times New Roman" w:cs="黑体"/>
          <w:bCs/>
          <w:sz w:val="32"/>
          <w:szCs w:val="32"/>
        </w:rPr>
      </w:pPr>
      <w:bookmarkStart w:id="392" w:name="_Toc13907"/>
      <w:r>
        <w:rPr>
          <w:rFonts w:ascii="Times New Roman" w:eastAsia="黑体" w:hAnsi="Times New Roman" w:cs="黑体" w:hint="eastAsia"/>
          <w:bCs/>
          <w:sz w:val="32"/>
          <w:szCs w:val="32"/>
        </w:rPr>
        <w:lastRenderedPageBreak/>
        <w:t>第三十章</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建设高标准市场体系高效配置要素资源</w:t>
      </w:r>
      <w:bookmarkEnd w:id="391"/>
      <w:bookmarkEnd w:id="392"/>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576"/>
        <w:jc w:val="left"/>
        <w:rPr>
          <w:rFonts w:ascii="Times New Roman" w:eastAsia="仿宋" w:hAnsi="Times New Roman" w:cs="仿宋"/>
          <w:bCs/>
          <w:spacing w:val="-6"/>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jc w:val="left"/>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坚持平等准入、公正监管、开放有序、诚信守法，推进土地、劳动力、资本、技术等要素市场化改革，健全要素市场运行机制，破除妨碍生产要素市场化配置和商品服务流通的体制机制障碍，降低交易成本，推动要素资源高效配置，形成高效规范、公平竞争的市场体系，更好服务融入新发展格局。</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393" w:name="_Toc25813"/>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394" w:name="_Toc14469"/>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完善要素市场化配置体制机制</w:t>
      </w:r>
      <w:bookmarkEnd w:id="393"/>
      <w:bookmarkEnd w:id="394"/>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深化土地要素市场化改革。建立城乡统一的建设用地市场，完善城乡土地统一市场主体的土地权利制度，健全兼顾国家、集体、个人的土地增值收益分配机制，提高市场配置效率和公平性。深化产业用地市场化配置改革，调整完善产业用地政策，推动不同产业用地类型合理转换，探索增加混合产业用地供给。完善城镇建设用地价格形成机制和存量土地盘活利用政策，建立健全促进盘活存量建设用地的税费制度，利用市场机制盘活存量和闲置低效用地。扩大土地要素市场化配置范围，建立基准地价公开发布制度和动态调整机制。</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推进资本要素市场化配置。扩大金融服务覆盖范围，提升金融资源配置效率，推动信用信息深度开发利用，增加服务小微和民营企业的有效金融服务供给。发展直接融资，助力新产业、新业态快</w:t>
      </w:r>
      <w:r>
        <w:rPr>
          <w:rFonts w:ascii="Times New Roman" w:eastAsia="仿宋" w:hAnsi="Times New Roman" w:cs="仿宋" w:hint="eastAsia"/>
          <w:bCs/>
          <w:color w:val="000000" w:themeColor="text1"/>
          <w:sz w:val="30"/>
          <w:szCs w:val="30"/>
        </w:rPr>
        <w:lastRenderedPageBreak/>
        <w:t>速发展。用足用活国家赋予西部地区企业上市融资、发行债券、并购重组等绿色通道政策，拓宽企业低成本融资渠道。</w:t>
      </w: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加快培育技术要素市场。强化知识产权保护和运用，完善有利于激励创新的知识产权归属制度，加大知识产权侵权损害赔偿，建立知识产权运营中心，促进知识产权市场化运营。完善科技创新资源配置方式，探索建立适应原创导向的重大项目形成和组织机制，推动从项目发现、遴选到资助、管理的全方位改革。完善科技金融结合机制，建立健全科技信贷、科技保险、政府引导基金互相配套的多元化、多层次、多渠道的科技投融资体系，开展知识产权、收益权、股权等质押融资，强化资本市场对科技创新的支持。</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themeColor="text1"/>
          <w:kern w:val="0"/>
          <w:sz w:val="30"/>
          <w:szCs w:val="30"/>
          <w:lang w:val="zh-CN"/>
        </w:rPr>
      </w:pPr>
      <w:r>
        <w:rPr>
          <w:rFonts w:ascii="Times New Roman" w:eastAsia="仿宋" w:hAnsi="Times New Roman" w:cs="仿宋" w:hint="eastAsia"/>
          <w:bCs/>
          <w:color w:val="000000" w:themeColor="text1"/>
          <w:sz w:val="30"/>
          <w:szCs w:val="30"/>
        </w:rPr>
        <w:t>引导劳动力要素合理有序流动。</w:t>
      </w:r>
      <w:r>
        <w:rPr>
          <w:rFonts w:ascii="Times New Roman" w:eastAsia="仿宋" w:hAnsi="Times New Roman" w:cs="仿宋" w:hint="eastAsia"/>
          <w:bCs/>
          <w:color w:val="000000" w:themeColor="text1"/>
          <w:kern w:val="0"/>
          <w:sz w:val="30"/>
          <w:szCs w:val="30"/>
          <w:lang w:val="zh-CN"/>
        </w:rPr>
        <w:t>加强人力资源市场体系建设，规范人力资源市场活动，畅通劳动力和人才流动渠道，更好地促进就业创业和人力资源合理流动、优化配置。完善评价制度，畅通评价渠道，充分发挥市场、社会组织、专业机构等多元评价主体作用，推进社会化职称评审。加快建立劳动者终身职业技能培训制度，完善技术工人评价选拔制度，探索实现职业技能等级证书和学历证书互通衔接。</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395" w:name="_Toc8193"/>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396" w:name="_Toc24514"/>
      <w:r>
        <w:rPr>
          <w:rFonts w:ascii="Times New Roman" w:eastAsia="楷体" w:hAnsi="Times New Roman" w:cs="楷体" w:hint="eastAsia"/>
          <w:bCs/>
          <w:sz w:val="32"/>
          <w:szCs w:val="32"/>
        </w:rPr>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推进要素价格市场化改革</w:t>
      </w:r>
      <w:bookmarkEnd w:id="395"/>
      <w:bookmarkEnd w:id="396"/>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优化产权配置，完善要素参与分配的机制，充分体现劳动、资本、土地、技术、知识、管理、数据等要素价值。加强要素市场交</w:t>
      </w:r>
      <w:r>
        <w:rPr>
          <w:rFonts w:ascii="Times New Roman" w:eastAsia="仿宋" w:hAnsi="Times New Roman" w:cs="仿宋" w:hint="eastAsia"/>
          <w:bCs/>
          <w:color w:val="000000" w:themeColor="text1"/>
          <w:sz w:val="30"/>
          <w:szCs w:val="30"/>
        </w:rPr>
        <w:lastRenderedPageBreak/>
        <w:t>易平台建设，扩大要素市场化配置范围，实现要素价格市场决定、流动自主有序、配置高效公平。深化公共资源交易平台整合共享，完善公共资源交易市场化配置机制，拓展竞争性配置公共资源范围，创新监督管理体制机制，促进公共资源交易市场健康有序发展。</w:t>
      </w:r>
      <w:r>
        <w:rPr>
          <w:rFonts w:ascii="Times New Roman" w:eastAsia="仿宋" w:hAnsi="Times New Roman" w:cs="仿宋" w:hint="eastAsia"/>
          <w:bCs/>
          <w:color w:val="000000" w:themeColor="text1"/>
          <w:sz w:val="30"/>
          <w:szCs w:val="30"/>
        </w:rPr>
        <w:t xml:space="preserve"> </w:t>
      </w:r>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610" w:lineRule="exact"/>
        <w:ind w:firstLineChars="200" w:firstLine="600"/>
        <w:jc w:val="left"/>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1"/>
        <w:rPr>
          <w:rFonts w:ascii="Times New Roman" w:eastAsia="黑体" w:hAnsi="Times New Roman" w:cs="黑体"/>
          <w:bCs/>
          <w:sz w:val="32"/>
          <w:szCs w:val="32"/>
        </w:rPr>
      </w:pPr>
      <w:bookmarkStart w:id="397" w:name="_Toc29988"/>
      <w:bookmarkStart w:id="398" w:name="_Toc22463"/>
      <w:r>
        <w:rPr>
          <w:rFonts w:ascii="Times New Roman" w:eastAsia="黑体" w:hAnsi="Times New Roman" w:cs="黑体" w:hint="eastAsia"/>
          <w:bCs/>
          <w:sz w:val="32"/>
          <w:szCs w:val="32"/>
        </w:rPr>
        <w:t>第三十一章</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转变政府职能建设服务型政府</w:t>
      </w:r>
      <w:bookmarkEnd w:id="397"/>
      <w:bookmarkEnd w:id="398"/>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610" w:lineRule="exact"/>
        <w:ind w:firstLineChars="200" w:firstLine="600"/>
        <w:jc w:val="left"/>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610" w:lineRule="exact"/>
        <w:ind w:firstLineChars="200" w:firstLine="600"/>
        <w:jc w:val="left"/>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持续深化简政放权、放管结合、优化服务改革，全面实行政府权责清单制度，着力提升政务服务能力和水平，切实降低制度性交易成本，为各类市场主体营造稳定、公平、透明、可预期的一流营商环境。</w:t>
      </w:r>
    </w:p>
    <w:p w:rsidR="001328A6" w:rsidRDefault="001328A6">
      <w:pPr>
        <w:pBdr>
          <w:top w:val="none" w:sz="0" w:space="1" w:color="auto"/>
          <w:left w:val="none" w:sz="0" w:space="4" w:color="auto"/>
          <w:bottom w:val="none" w:sz="0" w:space="1" w:color="auto"/>
          <w:right w:val="none" w:sz="0" w:space="4" w:color="auto"/>
        </w:pBdr>
        <w:overflowPunct w:val="0"/>
        <w:spacing w:line="610" w:lineRule="exact"/>
        <w:jc w:val="center"/>
        <w:rPr>
          <w:rFonts w:ascii="Times New Roman" w:eastAsia="仿宋" w:hAnsi="Times New Roman" w:cs="仿宋"/>
          <w:bCs/>
          <w:sz w:val="30"/>
          <w:szCs w:val="30"/>
        </w:rPr>
      </w:pPr>
      <w:bookmarkStart w:id="399" w:name="_Toc17786"/>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400" w:name="_Toc283"/>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推进行政管理体制改革</w:t>
      </w:r>
      <w:bookmarkEnd w:id="399"/>
      <w:bookmarkEnd w:id="400"/>
    </w:p>
    <w:p w:rsidR="001328A6" w:rsidRDefault="001328A6">
      <w:pPr>
        <w:pStyle w:val="a7"/>
        <w:pBdr>
          <w:top w:val="none" w:sz="0" w:space="1" w:color="auto"/>
          <w:left w:val="none" w:sz="0" w:space="4" w:color="auto"/>
          <w:bottom w:val="none" w:sz="0" w:space="1" w:color="auto"/>
          <w:right w:val="none" w:sz="0" w:space="4" w:color="auto"/>
        </w:pBdr>
        <w:overflowPunct w:val="0"/>
        <w:spacing w:after="0" w:line="610" w:lineRule="exact"/>
        <w:ind w:firstLine="642"/>
        <w:rPr>
          <w:rFonts w:ascii="Times New Roman" w:eastAsia="仿宋" w:hAnsi="Times New Roman" w:cs="仿宋"/>
          <w:bCs/>
          <w:color w:val="000000" w:themeColor="text1"/>
          <w:sz w:val="30"/>
          <w:szCs w:val="30"/>
        </w:rPr>
      </w:pPr>
    </w:p>
    <w:p w:rsidR="001328A6" w:rsidRDefault="007F3236">
      <w:pPr>
        <w:pStyle w:val="a7"/>
        <w:pBdr>
          <w:top w:val="none" w:sz="0" w:space="1" w:color="auto"/>
          <w:left w:val="none" w:sz="0" w:space="4" w:color="auto"/>
          <w:bottom w:val="none" w:sz="0" w:space="1" w:color="auto"/>
          <w:right w:val="none" w:sz="0" w:space="4" w:color="auto"/>
        </w:pBdr>
        <w:overflowPunct w:val="0"/>
        <w:spacing w:after="0" w:line="610" w:lineRule="exact"/>
        <w:ind w:firstLine="642"/>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持续深化“放管服”改革。落实全国统一的市场准入负面清单制度，实施相对集中行政许可权改革，清理精简行政许可和变相审批，推动“非禁即入”普遍落实，提高审批效能。持续深化商事制度改革，推动“证照分离”改革扩容提速，完善形成“一网申请、一窗受理、一次办理”。健全公开透明的监管制度，在市场监管领域全面推行部门联合“双随机、一公开”监管，深入推进“互联网</w:t>
      </w:r>
      <w:r>
        <w:rPr>
          <w:rFonts w:ascii="Times New Roman" w:eastAsia="仿宋" w:hAnsi="Times New Roman" w:cs="仿宋" w:hint="eastAsia"/>
          <w:bCs/>
          <w:color w:val="000000" w:themeColor="text1"/>
          <w:sz w:val="30"/>
          <w:szCs w:val="30"/>
        </w:rPr>
        <w:t>+</w:t>
      </w:r>
      <w:r>
        <w:rPr>
          <w:rFonts w:ascii="Times New Roman" w:eastAsia="仿宋" w:hAnsi="Times New Roman" w:cs="仿宋" w:hint="eastAsia"/>
          <w:bCs/>
          <w:color w:val="000000" w:themeColor="text1"/>
          <w:sz w:val="30"/>
          <w:szCs w:val="30"/>
        </w:rPr>
        <w:t>监管”，完善对企业的包容审慎监管，严守执法监管底线。建设数</w:t>
      </w:r>
      <w:r>
        <w:rPr>
          <w:rFonts w:ascii="Times New Roman" w:eastAsia="仿宋" w:hAnsi="Times New Roman" w:cs="仿宋" w:hint="eastAsia"/>
          <w:bCs/>
          <w:color w:val="000000" w:themeColor="text1"/>
          <w:sz w:val="30"/>
          <w:szCs w:val="30"/>
        </w:rPr>
        <w:lastRenderedPageBreak/>
        <w:t>字政府，完善政务信息化管理架构、业务架构和技术架构，构建大数据驱动的政府新机制、新平台，建成高效透明、整体联动、部门协同的数字政府。</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sz w:val="30"/>
          <w:szCs w:val="30"/>
        </w:rPr>
      </w:pPr>
      <w:r>
        <w:rPr>
          <w:rFonts w:ascii="Times New Roman" w:eastAsia="仿宋" w:hAnsi="Times New Roman" w:cs="仿宋" w:hint="eastAsia"/>
          <w:bCs/>
          <w:color w:val="000000" w:themeColor="text1"/>
          <w:kern w:val="0"/>
          <w:sz w:val="30"/>
          <w:szCs w:val="30"/>
          <w:lang w:val="zh-CN"/>
        </w:rPr>
        <w:t>深化行政审批制度改革。</w:t>
      </w:r>
      <w:r>
        <w:rPr>
          <w:rFonts w:ascii="Times New Roman" w:eastAsia="仿宋" w:hAnsi="Times New Roman" w:cs="仿宋" w:hint="eastAsia"/>
          <w:bCs/>
          <w:sz w:val="30"/>
          <w:szCs w:val="30"/>
        </w:rPr>
        <w:t>推进审批事项集中化、政务服务标准化、权力运行规范化、服务模式智能化，推行“一次办”“网上办”“掌上办”等模式，为企业入驻、项目落地、创新创业提供便利化服务，力争</w:t>
      </w:r>
      <w:r>
        <w:rPr>
          <w:rFonts w:ascii="Times New Roman" w:eastAsia="仿宋" w:hAnsi="Times New Roman" w:cs="仿宋" w:hint="eastAsia"/>
          <w:bCs/>
          <w:sz w:val="30"/>
          <w:szCs w:val="30"/>
        </w:rPr>
        <w:t>50%</w:t>
      </w:r>
      <w:r>
        <w:rPr>
          <w:rFonts w:ascii="Times New Roman" w:eastAsia="仿宋" w:hAnsi="Times New Roman" w:cs="仿宋" w:hint="eastAsia"/>
          <w:bCs/>
          <w:sz w:val="30"/>
          <w:szCs w:val="30"/>
        </w:rPr>
        <w:t>以上高频服务事项</w:t>
      </w:r>
      <w:r>
        <w:rPr>
          <w:rFonts w:ascii="Times New Roman" w:eastAsia="仿宋" w:hAnsi="Times New Roman" w:cs="仿宋" w:hint="eastAsia"/>
          <w:bCs/>
          <w:sz w:val="30"/>
          <w:szCs w:val="30"/>
        </w:rPr>
        <w:t xml:space="preserve"> </w:t>
      </w:r>
      <w:r>
        <w:rPr>
          <w:rFonts w:ascii="Times New Roman" w:eastAsia="仿宋" w:hAnsi="Times New Roman" w:cs="仿宋" w:hint="eastAsia"/>
          <w:bCs/>
          <w:sz w:val="30"/>
          <w:szCs w:val="30"/>
        </w:rPr>
        <w:t>“一次不用跑”，进一步压缩企业开办、不动产登记、工程建设项目等审批时限。改</w:t>
      </w:r>
      <w:r>
        <w:rPr>
          <w:rFonts w:ascii="Times New Roman" w:eastAsia="仿宋" w:hAnsi="Times New Roman" w:cs="仿宋" w:hint="eastAsia"/>
          <w:bCs/>
          <w:color w:val="000000"/>
          <w:sz w:val="30"/>
          <w:szCs w:val="30"/>
        </w:rPr>
        <w:t>造升级电子政务网络，统筹建设一体化政务云，积极推动“互联网</w:t>
      </w:r>
      <w:r>
        <w:rPr>
          <w:rFonts w:ascii="Times New Roman" w:eastAsia="仿宋" w:hAnsi="Times New Roman" w:cs="仿宋" w:hint="eastAsia"/>
          <w:bCs/>
          <w:color w:val="000000"/>
          <w:sz w:val="30"/>
          <w:szCs w:val="30"/>
        </w:rPr>
        <w:t>+</w:t>
      </w:r>
      <w:r>
        <w:rPr>
          <w:rFonts w:ascii="Times New Roman" w:eastAsia="仿宋" w:hAnsi="Times New Roman" w:cs="仿宋" w:hint="eastAsia"/>
          <w:bCs/>
          <w:color w:val="000000"/>
          <w:sz w:val="30"/>
          <w:szCs w:val="30"/>
        </w:rPr>
        <w:t>政务服务”建设，以行政审批电子化为重点，对行政审批运行进行模式和流程优化再造，提高行政审批效率。</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401" w:name="_Toc31271"/>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402" w:name="_Toc443"/>
      <w:r>
        <w:rPr>
          <w:rFonts w:ascii="Times New Roman" w:eastAsia="楷体" w:hAnsi="Times New Roman" w:cs="楷体" w:hint="eastAsia"/>
          <w:bCs/>
          <w:sz w:val="32"/>
          <w:szCs w:val="32"/>
        </w:rPr>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努力优化营商环境</w:t>
      </w:r>
      <w:bookmarkEnd w:id="401"/>
      <w:bookmarkEnd w:id="402"/>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 w:hAnsi="Times New Roman" w:cs="仿宋"/>
          <w:bCs/>
          <w:kern w:val="0"/>
          <w:sz w:val="30"/>
          <w:szCs w:val="30"/>
        </w:rPr>
      </w:pPr>
      <w:r>
        <w:rPr>
          <w:rFonts w:ascii="Times New Roman" w:eastAsia="仿宋" w:hAnsi="Times New Roman" w:cs="仿宋" w:hint="eastAsia"/>
          <w:bCs/>
          <w:color w:val="000000" w:themeColor="text1"/>
          <w:sz w:val="30"/>
          <w:szCs w:val="30"/>
        </w:rPr>
        <w:t>全面建设服务型政府。贯彻落实自治区优化营商环境行动方案，加强对企业的全生命周期服务，在市场准入、税费、融资、基础设施、产业配套、人力资源、公共服务等方面综合施策，以开办企业、登记财产、跨境贸易和便利获得用电、用水、用气、网络、工程项目施工许可等为工作重点，持续深化改革，切实降低制度性交易成本，更大程度激发市场主体活力和社会创造力。构建亲清政商关系，明晰政商交往界限，拓宽政企沟通协商渠道，实施领导干部联系民营企业工作制度，着力破解企业生产经营中的堵点、痛点问题，推</w:t>
      </w:r>
      <w:r>
        <w:rPr>
          <w:rFonts w:ascii="Times New Roman" w:eastAsia="仿宋" w:hAnsi="Times New Roman" w:cs="仿宋" w:hint="eastAsia"/>
          <w:bCs/>
          <w:color w:val="000000" w:themeColor="text1"/>
          <w:sz w:val="30"/>
          <w:szCs w:val="30"/>
        </w:rPr>
        <w:lastRenderedPageBreak/>
        <w:t>动民营企业和中小微企业发展壮大。</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jc w:val="left"/>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强化优化营商环境工作考核评价。按照构建市场化、法治化、国际化营商环境的标准，加强市、区及部门营商环境第三方考核评价，配合自治区做好全国地级以上城市营商环境评价工作，将评价结果作为市直和各区领导班子绩效考核重要指标。制定全市优化营商环境联席会议制度，将改善营商环境纳入重点督查范围，对营商环境评价中的各项突出问题进行集中解决。鼓励各部门结合实际情</w:t>
      </w:r>
      <w:r>
        <w:rPr>
          <w:rFonts w:ascii="Times New Roman" w:eastAsia="仿宋" w:hAnsi="Times New Roman" w:cs="仿宋" w:hint="eastAsia"/>
          <w:bCs/>
          <w:color w:val="000000" w:themeColor="text1"/>
          <w:spacing w:val="-6"/>
          <w:sz w:val="30"/>
          <w:szCs w:val="30"/>
        </w:rPr>
        <w:t>况，在法治框架内积极探索原创性、差异化的优化营商环境具体措施。</w:t>
      </w:r>
    </w:p>
    <w:p w:rsidR="001328A6" w:rsidRDefault="007F3236">
      <w:pPr>
        <w:pBdr>
          <w:top w:val="none" w:sz="0" w:space="1" w:color="auto"/>
          <w:left w:val="none" w:sz="0" w:space="4" w:color="auto"/>
          <w:bottom w:val="none" w:sz="0" w:space="1" w:color="auto"/>
          <w:right w:val="none" w:sz="0" w:space="4" w:color="auto"/>
        </w:pBdr>
        <w:overflowPunct w:val="0"/>
        <w:autoSpaceDE w:val="0"/>
        <w:autoSpaceDN w:val="0"/>
        <w:adjustRightInd w:val="0"/>
        <w:spacing w:line="580" w:lineRule="exact"/>
        <w:ind w:firstLineChars="200" w:firstLine="600"/>
        <w:rPr>
          <w:rFonts w:ascii="Times New Roman" w:eastAsia="仿宋_GB2312" w:hAnsi="Times New Roman" w:cs="Times New Roman"/>
          <w:bCs/>
          <w:color w:val="000000" w:themeColor="text1"/>
          <w:sz w:val="32"/>
          <w:szCs w:val="32"/>
        </w:rPr>
      </w:pPr>
      <w:r>
        <w:rPr>
          <w:rFonts w:ascii="Times New Roman" w:eastAsia="仿宋" w:hAnsi="Times New Roman" w:cs="仿宋" w:hint="eastAsia"/>
          <w:bCs/>
          <w:color w:val="000000" w:themeColor="text1"/>
          <w:sz w:val="30"/>
          <w:szCs w:val="30"/>
        </w:rPr>
        <w:t>完善社会信用体系建设。不断完善公共信用信息系统功能，加强公共信用信息资源充分归集、高效共享，提升平台网站服务能力和水平。构建以信用为基础的新型监管机制和社会治理模式，覆盖事前、事中、事后全流程监管，强化事中、事后监管。依法依规推动守信联合激励和失信联合惩戒机制落地，注重保障信用主体合法权益。拓展信用服务场景应用，持续开展诚信典型选树，加快培育信用服务市场。深入开展诚信宣传教育活动，普及信用文化知识，营造“诚实守信”的社会环境。加强政务诚信建设，推进开展政务诚信评价。</w:t>
      </w:r>
    </w:p>
    <w:p w:rsidR="001328A6" w:rsidRDefault="007F3236">
      <w:pPr>
        <w:overflowPunct w:val="0"/>
        <w:spacing w:line="580" w:lineRule="exact"/>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br w:type="page"/>
      </w:r>
    </w:p>
    <w:p w:rsidR="001328A6" w:rsidRDefault="007F3236">
      <w:pPr>
        <w:overflowPunct w:val="0"/>
        <w:spacing w:line="558" w:lineRule="exact"/>
        <w:jc w:val="center"/>
        <w:outlineLvl w:val="0"/>
        <w:rPr>
          <w:rFonts w:ascii="方正小标宋简体" w:eastAsia="方正小标宋简体" w:hAnsi="方正小标宋简体" w:cs="方正小标宋简体"/>
          <w:bCs/>
          <w:sz w:val="32"/>
          <w:szCs w:val="32"/>
        </w:rPr>
      </w:pPr>
      <w:bookmarkStart w:id="403" w:name="_Toc27715"/>
      <w:bookmarkStart w:id="404" w:name="_Toc14260"/>
      <w:r>
        <w:rPr>
          <w:rFonts w:ascii="方正小标宋简体" w:eastAsia="方正小标宋简体" w:hAnsi="方正小标宋简体" w:cs="方正小标宋简体" w:hint="eastAsia"/>
          <w:bCs/>
          <w:sz w:val="32"/>
          <w:szCs w:val="32"/>
        </w:rPr>
        <w:lastRenderedPageBreak/>
        <w:t>第九篇  加强党的全面领导保障规划顺利实施</w:t>
      </w:r>
      <w:bookmarkEnd w:id="403"/>
      <w:bookmarkEnd w:id="404"/>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558" w:lineRule="exact"/>
        <w:ind w:firstLineChars="200" w:firstLine="600"/>
        <w:jc w:val="left"/>
        <w:rPr>
          <w:rFonts w:ascii="Times New Roman" w:eastAsia="仿宋" w:hAnsi="Times New Roman" w:cs="仿宋"/>
          <w:bCs/>
          <w:color w:val="000000" w:themeColor="text1"/>
          <w:sz w:val="30"/>
          <w:szCs w:val="30"/>
        </w:rPr>
      </w:pPr>
      <w:bookmarkStart w:id="405" w:name="_Toc53750282"/>
      <w:bookmarkStart w:id="406" w:name="_Toc55550742"/>
      <w:bookmarkStart w:id="407" w:name="_Toc55410824"/>
      <w:bookmarkStart w:id="408" w:name="_Toc55555642"/>
      <w:bookmarkStart w:id="409" w:name="_Toc55549024"/>
      <w:bookmarkStart w:id="410" w:name="_Toc55468343"/>
      <w:bookmarkStart w:id="411" w:name="_Toc55565677"/>
      <w:bookmarkStart w:id="412" w:name="_Toc55311744"/>
      <w:bookmarkStart w:id="413" w:name="_Toc55496181"/>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保障《乌海市国民经济和社会发展第十四个五年规划和</w:t>
      </w:r>
      <w:r>
        <w:rPr>
          <w:rFonts w:ascii="Times New Roman" w:eastAsia="仿宋" w:hAnsi="Times New Roman" w:cs="仿宋" w:hint="eastAsia"/>
          <w:bCs/>
          <w:color w:val="000000" w:themeColor="text1"/>
          <w:sz w:val="30"/>
          <w:szCs w:val="30"/>
        </w:rPr>
        <w:t>2035</w:t>
      </w:r>
      <w:r>
        <w:rPr>
          <w:rFonts w:ascii="Times New Roman" w:eastAsia="仿宋" w:hAnsi="Times New Roman" w:cs="仿宋" w:hint="eastAsia"/>
          <w:bCs/>
          <w:color w:val="000000" w:themeColor="text1"/>
          <w:sz w:val="30"/>
          <w:szCs w:val="30"/>
        </w:rPr>
        <w:t>年远景目标纲要》的有效实施，必须坚持党的全面领导，</w:t>
      </w:r>
      <w:bookmarkEnd w:id="405"/>
      <w:bookmarkEnd w:id="406"/>
      <w:bookmarkEnd w:id="407"/>
      <w:bookmarkEnd w:id="408"/>
      <w:bookmarkEnd w:id="409"/>
      <w:bookmarkEnd w:id="410"/>
      <w:bookmarkEnd w:id="411"/>
      <w:bookmarkEnd w:id="412"/>
      <w:bookmarkEnd w:id="413"/>
      <w:r>
        <w:rPr>
          <w:rFonts w:ascii="Times New Roman" w:eastAsia="仿宋" w:hAnsi="Times New Roman" w:cs="仿宋" w:hint="eastAsia"/>
          <w:bCs/>
          <w:color w:val="000000" w:themeColor="text1"/>
          <w:sz w:val="30"/>
          <w:szCs w:val="30"/>
        </w:rPr>
        <w:t>充分调动一切积极因素，广泛团结一切可以团结的力量，形成推动发展的强大合力，全力以赴将宏伟蓝图变成美好现实。</w:t>
      </w:r>
    </w:p>
    <w:p w:rsidR="001328A6" w:rsidRDefault="001328A6">
      <w:pPr>
        <w:pBdr>
          <w:top w:val="none" w:sz="0" w:space="1" w:color="auto"/>
          <w:left w:val="none" w:sz="0" w:space="4" w:color="auto"/>
          <w:bottom w:val="none" w:sz="0" w:space="1" w:color="auto"/>
          <w:right w:val="none" w:sz="0" w:space="4" w:color="auto"/>
        </w:pBdr>
        <w:overflowPunct w:val="0"/>
        <w:spacing w:line="558" w:lineRule="exact"/>
        <w:jc w:val="center"/>
        <w:rPr>
          <w:rFonts w:ascii="Times New Roman" w:eastAsia="仿宋" w:hAnsi="Times New Roman" w:cs="仿宋"/>
          <w:bCs/>
          <w:sz w:val="30"/>
          <w:szCs w:val="30"/>
        </w:rPr>
      </w:pPr>
      <w:bookmarkStart w:id="414" w:name="_Toc436659315"/>
    </w:p>
    <w:p w:rsidR="001328A6" w:rsidRDefault="007F3236">
      <w:pPr>
        <w:pBdr>
          <w:top w:val="none" w:sz="0" w:space="1" w:color="auto"/>
          <w:left w:val="none" w:sz="0" w:space="4" w:color="auto"/>
          <w:bottom w:val="none" w:sz="0" w:space="1" w:color="auto"/>
          <w:right w:val="none" w:sz="0" w:space="4" w:color="auto"/>
        </w:pBdr>
        <w:overflowPunct w:val="0"/>
        <w:spacing w:line="558" w:lineRule="exact"/>
        <w:jc w:val="center"/>
        <w:outlineLvl w:val="1"/>
        <w:rPr>
          <w:rFonts w:ascii="Times New Roman" w:eastAsia="黑体" w:hAnsi="Times New Roman" w:cs="黑体"/>
          <w:bCs/>
          <w:sz w:val="32"/>
          <w:szCs w:val="32"/>
        </w:rPr>
      </w:pPr>
      <w:bookmarkStart w:id="415" w:name="_Toc8691"/>
      <w:bookmarkStart w:id="416" w:name="_Toc9329"/>
      <w:r>
        <w:rPr>
          <w:rFonts w:ascii="Times New Roman" w:eastAsia="黑体" w:hAnsi="Times New Roman" w:cs="黑体" w:hint="eastAsia"/>
          <w:bCs/>
          <w:sz w:val="32"/>
          <w:szCs w:val="32"/>
        </w:rPr>
        <w:t>第三十二章</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落实全面从严治党</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提高党的建设质量</w:t>
      </w:r>
      <w:bookmarkEnd w:id="415"/>
      <w:bookmarkEnd w:id="416"/>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558" w:lineRule="exact"/>
        <w:ind w:firstLineChars="200" w:firstLine="600"/>
        <w:jc w:val="left"/>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8" w:lineRule="exact"/>
        <w:jc w:val="center"/>
        <w:outlineLvl w:val="2"/>
        <w:rPr>
          <w:rFonts w:ascii="Times New Roman" w:eastAsia="楷体" w:hAnsi="Times New Roman" w:cs="楷体"/>
          <w:bCs/>
          <w:sz w:val="32"/>
          <w:szCs w:val="32"/>
        </w:rPr>
      </w:pPr>
      <w:bookmarkStart w:id="417" w:name="_Toc26505"/>
      <w:bookmarkStart w:id="418" w:name="_Toc20398"/>
      <w:r>
        <w:rPr>
          <w:rFonts w:ascii="Times New Roman" w:eastAsia="楷体" w:hAnsi="Times New Roman" w:cs="楷体" w:hint="eastAsia"/>
          <w:bCs/>
          <w:sz w:val="32"/>
          <w:szCs w:val="32"/>
        </w:rPr>
        <w:t>第一节坚持和加强党的全面领导</w:t>
      </w:r>
      <w:bookmarkEnd w:id="417"/>
      <w:bookmarkEnd w:id="418"/>
    </w:p>
    <w:p w:rsidR="001328A6" w:rsidRDefault="001328A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贯彻党把方向、谋大局、定政策、促改革的要求，推动全市各级党组织和广大党员干部增强“四个意识”、坚定“四个自信”、做到“两个维护”，始终在思想上政治上行动上同以习近平同志为核心的党中央保持高度一致。认真落实全面从严治党主体责任和监督责任，强化各级党组织在同级组织中的领导地位，推动形成党总揽全局、协调各方的领导体系，确保党的全面领导落到实处。加强党对统战工作的集中统一领导，构建大统战工作格局，完善党委联系民主党派、少数民族人士、宗教界和新的社会阶层的工作机制，加强对党外知识分子、非公有制经济人士、新的社会阶层人士的团结和引导，支持他们履职尽责、发挥作用。健全联系广泛、服务群众的群团工作体系，充分发挥工青妇等群团组织桥梁纽带作用，巩固和发展生动活泼、安定团结的政治局面。</w:t>
      </w:r>
    </w:p>
    <w:p w:rsidR="001328A6" w:rsidRDefault="007F3236">
      <w:pPr>
        <w:pBdr>
          <w:top w:val="none" w:sz="0" w:space="1" w:color="auto"/>
          <w:left w:val="none" w:sz="0" w:space="4" w:color="auto"/>
          <w:bottom w:val="none" w:sz="0" w:space="1" w:color="auto"/>
          <w:right w:val="none" w:sz="0" w:space="4" w:color="auto"/>
        </w:pBdr>
        <w:overflowPunct w:val="0"/>
        <w:spacing w:line="558" w:lineRule="exact"/>
        <w:jc w:val="center"/>
        <w:outlineLvl w:val="2"/>
        <w:rPr>
          <w:rFonts w:ascii="Times New Roman" w:eastAsia="楷体" w:hAnsi="Times New Roman" w:cs="楷体"/>
          <w:bCs/>
          <w:sz w:val="32"/>
          <w:szCs w:val="32"/>
        </w:rPr>
      </w:pPr>
      <w:bookmarkStart w:id="419" w:name="_Toc707"/>
      <w:bookmarkStart w:id="420" w:name="_Toc24901"/>
      <w:r>
        <w:rPr>
          <w:rFonts w:ascii="Times New Roman" w:eastAsia="楷体" w:hAnsi="Times New Roman" w:cs="楷体" w:hint="eastAsia"/>
          <w:bCs/>
          <w:sz w:val="32"/>
          <w:szCs w:val="32"/>
        </w:rPr>
        <w:lastRenderedPageBreak/>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全面加强党的政治建设</w:t>
      </w:r>
      <w:bookmarkEnd w:id="419"/>
      <w:bookmarkEnd w:id="420"/>
    </w:p>
    <w:p w:rsidR="001328A6" w:rsidRDefault="001328A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以习近平新时代中国特色社会主义思想为指导，全面贯彻新时代党的建设总要求和新时代党的组织路线，坚持党的领导、坚持党要管党、全面从严治党。以加强党的政治建设为统领，进一步完善党的政治建设、思想建设、组织建设、作风建设、纪律建设、制度建设，推动各级党组织和广大党员干部始终坚守正确的政治方向，坚定政治信仰，严格遵守政治纪律和政治规矩。坚持以正确用人导向引领干事创业导向，加强干部队伍建设，特别是年轻干部队伍建设，强化从严管理监督，激励保护干部担当作为，提高各级领导班子和干部贯彻新发展理念、服务融入新发展格局的水平和专业化能力。健全完善党和国家监督体系，强化政治监督，加强对公权力运行的制约和监督，为本规划顺利实施提供坚强政治保障。落实党风廉政建设责任制，强化作风建设，坚持无禁区、全覆盖、零容忍，一体推进不敢腐、不能腐、不想腐，坚决惩治群众身边的腐败和作风问题，营造风清气正的政治生态。坚决抓好各级各类巡视督导考核反馈问题整改落实，以过硬的整改成效彰显使命担当。</w:t>
      </w:r>
    </w:p>
    <w:p w:rsidR="001328A6" w:rsidRDefault="001328A6">
      <w:pPr>
        <w:pStyle w:val="a0"/>
        <w:spacing w:before="0" w:after="0" w:line="610" w:lineRule="exact"/>
        <w:outlineLvl w:val="9"/>
        <w:rPr>
          <w:rFonts w:ascii="Times New Roman" w:eastAsia="仿宋" w:hAnsi="Times New Roman" w:cs="仿宋"/>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610" w:lineRule="exact"/>
        <w:jc w:val="center"/>
        <w:outlineLvl w:val="2"/>
        <w:rPr>
          <w:rFonts w:ascii="Times New Roman" w:eastAsia="楷体" w:hAnsi="Times New Roman" w:cs="楷体"/>
          <w:bCs/>
          <w:sz w:val="32"/>
          <w:szCs w:val="32"/>
        </w:rPr>
      </w:pPr>
      <w:bookmarkStart w:id="421" w:name="_Toc19797"/>
      <w:bookmarkStart w:id="422" w:name="_Toc31626"/>
      <w:r>
        <w:rPr>
          <w:rFonts w:ascii="Times New Roman" w:eastAsia="楷体" w:hAnsi="Times New Roman" w:cs="楷体" w:hint="eastAsia"/>
          <w:bCs/>
          <w:sz w:val="32"/>
          <w:szCs w:val="32"/>
        </w:rPr>
        <w:t>第三节加强和改进基层党的建设</w:t>
      </w:r>
      <w:bookmarkEnd w:id="421"/>
      <w:bookmarkEnd w:id="422"/>
    </w:p>
    <w:p w:rsidR="001328A6" w:rsidRDefault="001328A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仿宋"/>
          <w:bCs/>
          <w:color w:val="000000" w:themeColor="text1"/>
          <w:sz w:val="30"/>
          <w:szCs w:val="30"/>
        </w:rPr>
      </w:pPr>
      <w:r>
        <w:rPr>
          <w:rFonts w:ascii="Times New Roman" w:eastAsia="仿宋" w:hAnsi="Times New Roman" w:cs="仿宋" w:hint="eastAsia"/>
          <w:bCs/>
          <w:color w:val="000000" w:themeColor="text1"/>
          <w:sz w:val="30"/>
          <w:szCs w:val="30"/>
        </w:rPr>
        <w:t>全面加强对基层党建工作的组织领导，贯彻落实“五化协同、</w:t>
      </w:r>
      <w:r>
        <w:rPr>
          <w:rFonts w:ascii="Times New Roman" w:eastAsia="仿宋" w:hAnsi="Times New Roman" w:cs="仿宋" w:hint="eastAsia"/>
          <w:bCs/>
          <w:color w:val="000000" w:themeColor="text1"/>
          <w:sz w:val="30"/>
          <w:szCs w:val="30"/>
        </w:rPr>
        <w:lastRenderedPageBreak/>
        <w:t>大抓基层”总体思路，深入推进“最强党支部”建设，强化党建引领网格化治理，加强党组织带头人队伍建设，建设覆盖广泛、集约高效的党群服务中心，织密建强党的组织体系，着力提升基层党组织的政治功能和组织力，切实提升基层党建工作质量，推动党的组织体系建设全面进步、全面过硬。健全用党的创新理论武装全党、教育人民工作体系，用好“学习强国”“学习讲堂”“草原学习轻骑兵”等平台载体，组织开展习近平新时代中国特色社会主义思想进机关、进校园、进企业、进社区、进农区等活动，引导党员自觉做习近平新时代中国特色社会主义思想的坚定信仰者和忠实实践者。深入开展党章党规党纪宣传教育，巩固深化“不忘初心、牢记使命”主题教育成果，汲取中国共产党一百年的宝贵经验，深入学习党史、新中国史、改革开放史、社会主义发展史，教育引导全市党员干部坚定理想信念，不忘初心、牢记使命，为党和人民事业不懈奋斗。认真落实党管武装要求，发扬拥政爱民、拥军优属光荣传统，努力开创军政军民团结新局面。</w:t>
      </w:r>
    </w:p>
    <w:p w:rsidR="001328A6" w:rsidRDefault="001328A6">
      <w:pPr>
        <w:pBdr>
          <w:top w:val="none" w:sz="0" w:space="1" w:color="auto"/>
          <w:left w:val="none" w:sz="0" w:space="4" w:color="auto"/>
          <w:bottom w:val="none" w:sz="0" w:space="1" w:color="auto"/>
          <w:right w:val="none" w:sz="0" w:space="4" w:color="auto"/>
        </w:pBdr>
        <w:overflowPunct w:val="0"/>
        <w:spacing w:line="610" w:lineRule="exact"/>
        <w:jc w:val="center"/>
        <w:rPr>
          <w:rFonts w:ascii="Times New Roman" w:eastAsia="仿宋" w:hAnsi="Times New Roman" w:cs="仿宋"/>
          <w:bCs/>
          <w:sz w:val="30"/>
          <w:szCs w:val="30"/>
        </w:rPr>
      </w:pPr>
      <w:bookmarkStart w:id="423" w:name="_Toc14413"/>
    </w:p>
    <w:p w:rsidR="001328A6" w:rsidRDefault="007F3236">
      <w:pPr>
        <w:pBdr>
          <w:top w:val="none" w:sz="0" w:space="1" w:color="auto"/>
          <w:left w:val="none" w:sz="0" w:space="4" w:color="auto"/>
          <w:bottom w:val="none" w:sz="0" w:space="1" w:color="auto"/>
          <w:right w:val="none" w:sz="0" w:space="4" w:color="auto"/>
        </w:pBdr>
        <w:overflowPunct w:val="0"/>
        <w:spacing w:line="610" w:lineRule="exact"/>
        <w:jc w:val="center"/>
        <w:outlineLvl w:val="2"/>
        <w:rPr>
          <w:rFonts w:ascii="Times New Roman" w:eastAsia="楷体" w:hAnsi="Times New Roman" w:cs="楷体"/>
          <w:bCs/>
          <w:sz w:val="32"/>
          <w:szCs w:val="32"/>
        </w:rPr>
      </w:pPr>
      <w:bookmarkStart w:id="424" w:name="_Toc25812"/>
      <w:r>
        <w:rPr>
          <w:rFonts w:ascii="Times New Roman" w:eastAsia="楷体" w:hAnsi="Times New Roman" w:cs="楷体" w:hint="eastAsia"/>
          <w:bCs/>
          <w:sz w:val="32"/>
          <w:szCs w:val="32"/>
        </w:rPr>
        <w:t>第四节全面贯彻党的民族政策</w:t>
      </w:r>
      <w:bookmarkEnd w:id="423"/>
      <w:bookmarkEnd w:id="424"/>
    </w:p>
    <w:p w:rsidR="001328A6" w:rsidRDefault="001328A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仿宋"/>
          <w:bCs/>
          <w:color w:val="000000" w:themeColor="text1"/>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61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color w:val="000000" w:themeColor="text1"/>
          <w:sz w:val="30"/>
          <w:szCs w:val="30"/>
        </w:rPr>
        <w:t>坚定不移走中国特色解决民族问题的正确道路，全面贯彻落实民族区域自治法，依法管理民族事务。贯彻落实好统一与自治相结合、民族因素与区域因素相结合的民族区域自治制度。以铸牢中华</w:t>
      </w:r>
      <w:r>
        <w:rPr>
          <w:rFonts w:ascii="Times New Roman" w:eastAsia="仿宋" w:hAnsi="Times New Roman" w:cs="仿宋" w:hint="eastAsia"/>
          <w:bCs/>
          <w:color w:val="000000" w:themeColor="text1"/>
          <w:sz w:val="30"/>
          <w:szCs w:val="30"/>
        </w:rPr>
        <w:lastRenderedPageBreak/>
        <w:t>民族共同体意识为主线，加强党的民族理论和民族政策学习宣传，深化民族团结进步教育，构建各民族共有精神家园。全面深入持久开展民族团结进步创建，构建互嵌式社会结构和社区环境，促进各民族交往交流交融。积极争创全国民族团结进步示范市。促进各民族共同团结奋斗、共同繁荣发展。</w:t>
      </w:r>
    </w:p>
    <w:p w:rsidR="001328A6" w:rsidRDefault="001328A6">
      <w:pPr>
        <w:pBdr>
          <w:top w:val="none" w:sz="0" w:space="1" w:color="auto"/>
          <w:left w:val="none" w:sz="0" w:space="4" w:color="auto"/>
          <w:bottom w:val="none" w:sz="0" w:space="1" w:color="auto"/>
          <w:right w:val="none" w:sz="0" w:space="4" w:color="auto"/>
        </w:pBdr>
        <w:overflowPunct w:val="0"/>
        <w:spacing w:line="558" w:lineRule="exact"/>
        <w:jc w:val="center"/>
        <w:rPr>
          <w:rFonts w:ascii="Times New Roman" w:eastAsia="仿宋" w:hAnsi="Times New Roman" w:cs="仿宋"/>
          <w:bCs/>
          <w:sz w:val="30"/>
          <w:szCs w:val="30"/>
        </w:rPr>
      </w:pPr>
      <w:bookmarkStart w:id="425" w:name="_Toc30991"/>
    </w:p>
    <w:p w:rsidR="001328A6" w:rsidRDefault="007F3236">
      <w:pPr>
        <w:pBdr>
          <w:top w:val="none" w:sz="0" w:space="1" w:color="auto"/>
          <w:left w:val="none" w:sz="0" w:space="4" w:color="auto"/>
          <w:bottom w:val="none" w:sz="0" w:space="1" w:color="auto"/>
          <w:right w:val="none" w:sz="0" w:space="4" w:color="auto"/>
        </w:pBdr>
        <w:overflowPunct w:val="0"/>
        <w:spacing w:line="558" w:lineRule="exact"/>
        <w:jc w:val="center"/>
        <w:outlineLvl w:val="1"/>
        <w:rPr>
          <w:rFonts w:ascii="Times New Roman" w:eastAsia="黑体" w:hAnsi="Times New Roman" w:cs="黑体"/>
          <w:bCs/>
          <w:sz w:val="32"/>
          <w:szCs w:val="32"/>
        </w:rPr>
      </w:pPr>
      <w:bookmarkStart w:id="426" w:name="_Toc20762"/>
      <w:r>
        <w:rPr>
          <w:rFonts w:ascii="Times New Roman" w:eastAsia="黑体" w:hAnsi="Times New Roman" w:cs="黑体" w:hint="eastAsia"/>
          <w:bCs/>
          <w:sz w:val="32"/>
          <w:szCs w:val="32"/>
        </w:rPr>
        <w:t>第三十三章</w:t>
      </w:r>
      <w:r>
        <w:rPr>
          <w:rFonts w:ascii="Times New Roman" w:eastAsia="黑体" w:hAnsi="Times New Roman" w:cs="黑体" w:hint="eastAsia"/>
          <w:bCs/>
          <w:sz w:val="32"/>
          <w:szCs w:val="32"/>
        </w:rPr>
        <w:t xml:space="preserve"> </w:t>
      </w:r>
      <w:r>
        <w:rPr>
          <w:rFonts w:ascii="Times New Roman" w:eastAsia="黑体" w:hAnsi="Times New Roman" w:cs="黑体" w:hint="eastAsia"/>
          <w:bCs/>
          <w:sz w:val="32"/>
          <w:szCs w:val="32"/>
        </w:rPr>
        <w:t>全力组织实施确保宏伟蓝图全方位落实</w:t>
      </w:r>
      <w:bookmarkEnd w:id="425"/>
      <w:bookmarkEnd w:id="426"/>
    </w:p>
    <w:p w:rsidR="001328A6" w:rsidRDefault="001328A6">
      <w:pPr>
        <w:pBdr>
          <w:top w:val="none" w:sz="0" w:space="1" w:color="auto"/>
          <w:left w:val="none" w:sz="0" w:space="4" w:color="auto"/>
          <w:bottom w:val="none" w:sz="0" w:space="1" w:color="auto"/>
          <w:right w:val="none" w:sz="0" w:space="4" w:color="auto"/>
        </w:pBdr>
        <w:overflowPunct w:val="0"/>
        <w:autoSpaceDE w:val="0"/>
        <w:autoSpaceDN w:val="0"/>
        <w:adjustRightInd w:val="0"/>
        <w:spacing w:line="558" w:lineRule="exact"/>
        <w:ind w:firstLineChars="200" w:firstLine="600"/>
        <w:jc w:val="left"/>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8" w:lineRule="exact"/>
        <w:jc w:val="center"/>
        <w:outlineLvl w:val="2"/>
        <w:rPr>
          <w:rFonts w:ascii="Times New Roman" w:eastAsia="楷体" w:hAnsi="Times New Roman" w:cs="楷体"/>
          <w:bCs/>
          <w:sz w:val="32"/>
          <w:szCs w:val="32"/>
        </w:rPr>
      </w:pPr>
      <w:bookmarkStart w:id="427" w:name="_Toc19643"/>
      <w:bookmarkStart w:id="428" w:name="_Toc25228"/>
      <w:r>
        <w:rPr>
          <w:rFonts w:ascii="Times New Roman" w:eastAsia="楷体" w:hAnsi="Times New Roman" w:cs="楷体" w:hint="eastAsia"/>
          <w:bCs/>
          <w:sz w:val="32"/>
          <w:szCs w:val="32"/>
        </w:rPr>
        <w:t>第一节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加强组织领导</w:t>
      </w:r>
      <w:bookmarkEnd w:id="414"/>
      <w:bookmarkEnd w:id="427"/>
      <w:bookmarkEnd w:id="428"/>
    </w:p>
    <w:p w:rsidR="001328A6" w:rsidRDefault="001328A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z w:val="30"/>
          <w:szCs w:val="30"/>
        </w:rPr>
        <w:t>切实深化改革、加强组织领导，充分发挥规划的指导作用。加大规划的宣传力度，借助网络、电视、报纸等各种媒体宣传规划，让规划蓝图深入人心，激发广大群众同心协力全面推进社会主义现代化建设的热情，形成政府引导、社会各界积极参与规划实施的良好氛围。</w:t>
      </w:r>
    </w:p>
    <w:p w:rsidR="001328A6" w:rsidRDefault="001328A6">
      <w:pPr>
        <w:pBdr>
          <w:top w:val="none" w:sz="0" w:space="1" w:color="auto"/>
          <w:left w:val="none" w:sz="0" w:space="4" w:color="auto"/>
          <w:bottom w:val="none" w:sz="0" w:space="1" w:color="auto"/>
          <w:right w:val="none" w:sz="0" w:space="4" w:color="auto"/>
        </w:pBdr>
        <w:overflowPunct w:val="0"/>
        <w:spacing w:line="580" w:lineRule="exact"/>
        <w:jc w:val="center"/>
        <w:rPr>
          <w:rFonts w:ascii="Times New Roman" w:eastAsia="仿宋" w:hAnsi="Times New Roman" w:cs="仿宋"/>
          <w:bCs/>
          <w:sz w:val="30"/>
          <w:szCs w:val="30"/>
        </w:rPr>
      </w:pPr>
      <w:bookmarkStart w:id="429" w:name="_Toc436659316"/>
      <w:bookmarkStart w:id="430" w:name="_Toc32528"/>
    </w:p>
    <w:p w:rsidR="001328A6" w:rsidRDefault="007F3236">
      <w:pPr>
        <w:pBdr>
          <w:top w:val="none" w:sz="0" w:space="1" w:color="auto"/>
          <w:left w:val="none" w:sz="0" w:space="4" w:color="auto"/>
          <w:bottom w:val="none" w:sz="0" w:space="1" w:color="auto"/>
          <w:right w:val="none" w:sz="0" w:space="4" w:color="auto"/>
        </w:pBdr>
        <w:overflowPunct w:val="0"/>
        <w:spacing w:line="580" w:lineRule="exact"/>
        <w:jc w:val="center"/>
        <w:outlineLvl w:val="2"/>
        <w:rPr>
          <w:rFonts w:ascii="Times New Roman" w:eastAsia="楷体" w:hAnsi="Times New Roman" w:cs="楷体"/>
          <w:bCs/>
          <w:sz w:val="32"/>
          <w:szCs w:val="32"/>
        </w:rPr>
      </w:pPr>
      <w:bookmarkStart w:id="431" w:name="_Toc32600"/>
      <w:r>
        <w:rPr>
          <w:rFonts w:ascii="Times New Roman" w:eastAsia="楷体" w:hAnsi="Times New Roman" w:cs="楷体" w:hint="eastAsia"/>
          <w:bCs/>
          <w:sz w:val="32"/>
          <w:szCs w:val="32"/>
        </w:rPr>
        <w:t>第二节</w:t>
      </w:r>
      <w:r>
        <w:rPr>
          <w:rFonts w:ascii="Times New Roman" w:eastAsia="楷体" w:hAnsi="Times New Roman" w:cs="楷体" w:hint="eastAsia"/>
          <w:bCs/>
          <w:sz w:val="32"/>
          <w:szCs w:val="32"/>
        </w:rPr>
        <w:t xml:space="preserve"> </w:t>
      </w:r>
      <w:r>
        <w:rPr>
          <w:rFonts w:ascii="Times New Roman" w:eastAsia="楷体" w:hAnsi="Times New Roman" w:cs="楷体" w:hint="eastAsia"/>
          <w:bCs/>
          <w:sz w:val="32"/>
          <w:szCs w:val="32"/>
        </w:rPr>
        <w:t>健全规划体系</w:t>
      </w:r>
      <w:bookmarkEnd w:id="429"/>
      <w:bookmarkEnd w:id="430"/>
      <w:bookmarkEnd w:id="431"/>
    </w:p>
    <w:p w:rsidR="001328A6" w:rsidRDefault="001328A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80"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z w:val="30"/>
          <w:szCs w:val="30"/>
        </w:rPr>
        <w:t>本规划是统领未来五年我市经济社会发展的蓝图，是编制其他各类专项规划、经济政策、年度计划的依据，必须做好规划的落实。各区要依据本规划确定的发展方向和总体要求，做好地区规划。</w:t>
      </w:r>
      <w:bookmarkStart w:id="432" w:name="_Toc275444959"/>
      <w:bookmarkEnd w:id="432"/>
      <w:r>
        <w:rPr>
          <w:rFonts w:ascii="Times New Roman" w:eastAsia="仿宋" w:hAnsi="Times New Roman" w:cs="仿宋" w:hint="eastAsia"/>
          <w:bCs/>
          <w:sz w:val="30"/>
          <w:szCs w:val="30"/>
        </w:rPr>
        <w:t>各部门要围绕重点领域做好专项规划。加快出台和完善与规划相配套</w:t>
      </w:r>
      <w:r>
        <w:rPr>
          <w:rFonts w:ascii="Times New Roman" w:eastAsia="仿宋" w:hAnsi="Times New Roman" w:cs="仿宋" w:hint="eastAsia"/>
          <w:bCs/>
          <w:sz w:val="30"/>
          <w:szCs w:val="30"/>
        </w:rPr>
        <w:lastRenderedPageBreak/>
        <w:t>的各项政策，鼓励和引导企业、社会组织等参与规划的实施，对列入规划中的重大项目予以重点推进。加强年度计划与规划的衔接，将本规划提出的战略目标、重点任务进行分解落实，确保规划有计划、有步骤地实施。</w:t>
      </w:r>
    </w:p>
    <w:p w:rsidR="001328A6" w:rsidRDefault="001328A6">
      <w:pPr>
        <w:pBdr>
          <w:top w:val="none" w:sz="0" w:space="1" w:color="auto"/>
          <w:left w:val="none" w:sz="0" w:space="4" w:color="auto"/>
          <w:bottom w:val="none" w:sz="0" w:space="1" w:color="auto"/>
          <w:right w:val="none" w:sz="0" w:space="4" w:color="auto"/>
        </w:pBdr>
        <w:overflowPunct w:val="0"/>
        <w:spacing w:line="558" w:lineRule="exact"/>
        <w:jc w:val="center"/>
        <w:rPr>
          <w:rFonts w:ascii="Times New Roman" w:eastAsia="仿宋" w:hAnsi="Times New Roman" w:cs="仿宋"/>
          <w:bCs/>
          <w:sz w:val="30"/>
          <w:szCs w:val="30"/>
        </w:rPr>
      </w:pPr>
      <w:bookmarkStart w:id="433" w:name="_Toc278469183"/>
      <w:bookmarkStart w:id="434" w:name="_Toc281893052"/>
      <w:bookmarkStart w:id="435" w:name="_Toc283910669"/>
      <w:bookmarkStart w:id="436" w:name="_Toc436659317"/>
      <w:bookmarkStart w:id="437" w:name="_Toc21109"/>
    </w:p>
    <w:p w:rsidR="001328A6" w:rsidRDefault="007F3236">
      <w:pPr>
        <w:pBdr>
          <w:top w:val="none" w:sz="0" w:space="1" w:color="auto"/>
          <w:left w:val="none" w:sz="0" w:space="4" w:color="auto"/>
          <w:bottom w:val="none" w:sz="0" w:space="1" w:color="auto"/>
          <w:right w:val="none" w:sz="0" w:space="4" w:color="auto"/>
        </w:pBdr>
        <w:overflowPunct w:val="0"/>
        <w:spacing w:line="558" w:lineRule="exact"/>
        <w:jc w:val="center"/>
        <w:outlineLvl w:val="2"/>
        <w:rPr>
          <w:rFonts w:ascii="Times New Roman" w:eastAsia="楷体" w:hAnsi="Times New Roman" w:cs="楷体"/>
          <w:bCs/>
          <w:sz w:val="32"/>
          <w:szCs w:val="32"/>
        </w:rPr>
      </w:pPr>
      <w:bookmarkStart w:id="438" w:name="_Toc31162"/>
      <w:r>
        <w:rPr>
          <w:rFonts w:ascii="Times New Roman" w:eastAsia="楷体" w:hAnsi="Times New Roman" w:cs="楷体" w:hint="eastAsia"/>
          <w:bCs/>
          <w:sz w:val="32"/>
          <w:szCs w:val="32"/>
        </w:rPr>
        <w:t>第三节</w:t>
      </w:r>
      <w:bookmarkEnd w:id="433"/>
      <w:r>
        <w:rPr>
          <w:rFonts w:ascii="Times New Roman" w:eastAsia="楷体" w:hAnsi="Times New Roman" w:cs="楷体" w:hint="eastAsia"/>
          <w:bCs/>
          <w:sz w:val="32"/>
          <w:szCs w:val="32"/>
        </w:rPr>
        <w:t>完善评价考核</w:t>
      </w:r>
      <w:bookmarkEnd w:id="434"/>
      <w:bookmarkEnd w:id="435"/>
      <w:r>
        <w:rPr>
          <w:rFonts w:ascii="Times New Roman" w:eastAsia="楷体" w:hAnsi="Times New Roman" w:cs="楷体" w:hint="eastAsia"/>
          <w:bCs/>
          <w:sz w:val="32"/>
          <w:szCs w:val="32"/>
        </w:rPr>
        <w:t>机制</w:t>
      </w:r>
      <w:bookmarkEnd w:id="436"/>
      <w:bookmarkEnd w:id="437"/>
      <w:bookmarkEnd w:id="438"/>
    </w:p>
    <w:p w:rsidR="001328A6" w:rsidRDefault="001328A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sz w:val="30"/>
          <w:szCs w:val="30"/>
        </w:rPr>
      </w:pPr>
    </w:p>
    <w:p w:rsidR="001328A6" w:rsidRDefault="007F3236">
      <w:pPr>
        <w:pBdr>
          <w:top w:val="none" w:sz="0" w:space="1" w:color="auto"/>
          <w:left w:val="none" w:sz="0" w:space="4" w:color="auto"/>
          <w:bottom w:val="none" w:sz="0" w:space="1" w:color="auto"/>
          <w:right w:val="none" w:sz="0" w:space="4" w:color="auto"/>
        </w:pBdr>
        <w:overflowPunct w:val="0"/>
        <w:spacing w:line="558" w:lineRule="exact"/>
        <w:ind w:firstLineChars="200" w:firstLine="600"/>
        <w:rPr>
          <w:rFonts w:ascii="Times New Roman" w:eastAsia="仿宋" w:hAnsi="Times New Roman" w:cs="仿宋"/>
          <w:bCs/>
          <w:sz w:val="30"/>
          <w:szCs w:val="30"/>
        </w:rPr>
      </w:pPr>
      <w:r>
        <w:rPr>
          <w:rFonts w:ascii="Times New Roman" w:eastAsia="仿宋" w:hAnsi="Times New Roman" w:cs="仿宋" w:hint="eastAsia"/>
          <w:bCs/>
          <w:sz w:val="30"/>
          <w:szCs w:val="30"/>
        </w:rPr>
        <w:t>加强对规划落实情况的跟踪和监督，根据实际发展情况及时对规划进行必要的调整，做好中期评估，接受市人民代表大会常务委员会的监督检查。规划中确定的各项指标以及重大政策、重要改革任务和重大工程项目，要明确责任主体、实施进度要求，加强评估督导，确保如期完成。</w:t>
      </w:r>
    </w:p>
    <w:sectPr w:rsidR="001328A6" w:rsidSect="001328A6">
      <w:footerReference w:type="default" r:id="rId9"/>
      <w:pgSz w:w="11906" w:h="16838"/>
      <w:pgMar w:top="2098" w:right="1531" w:bottom="1871" w:left="1531" w:header="851" w:footer="1417"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58B" w:rsidRDefault="00A4058B" w:rsidP="001328A6">
      <w:r>
        <w:separator/>
      </w:r>
    </w:p>
  </w:endnote>
  <w:endnote w:type="continuationSeparator" w:id="1">
    <w:p w:rsidR="00A4058B" w:rsidRDefault="00A4058B" w:rsidP="001328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EEDF0E38-300F-4408-87CD-2E18F10165A5}"/>
  </w:font>
  <w:font w:name="方正小标宋简体">
    <w:panose1 w:val="03000509000000000000"/>
    <w:charset w:val="86"/>
    <w:family w:val="script"/>
    <w:pitch w:val="fixed"/>
    <w:sig w:usb0="00000001" w:usb1="080E0000" w:usb2="00000010" w:usb3="00000000" w:csb0="00040000" w:csb1="00000000"/>
    <w:embedRegular r:id="rId2" w:subsetted="1" w:fontKey="{208E0096-E18E-4B01-ACC5-F7A5FE7EF3C9}"/>
  </w:font>
  <w:font w:name="楷体_GB2312">
    <w:panose1 w:val="02010609030101010101"/>
    <w:charset w:val="86"/>
    <w:family w:val="modern"/>
    <w:pitch w:val="fixed"/>
    <w:sig w:usb0="00000001" w:usb1="080E0000" w:usb2="00000010" w:usb3="00000000" w:csb0="00040000" w:csb1="00000000"/>
    <w:embedRegular r:id="rId3" w:subsetted="1" w:fontKey="{B8FECEB6-0A1E-49F3-9D59-8B96D4B47A8A}"/>
  </w:font>
  <w:font w:name="仿宋">
    <w:panose1 w:val="02010609060101010101"/>
    <w:charset w:val="86"/>
    <w:family w:val="modern"/>
    <w:pitch w:val="fixed"/>
    <w:sig w:usb0="800002BF" w:usb1="38CF7CFA" w:usb2="00000016" w:usb3="00000000" w:csb0="00040001" w:csb1="00000000"/>
    <w:embedRegular r:id="rId4" w:subsetted="1" w:fontKey="{FC2D0B05-F7A5-44FB-A465-F38BC6C71924}"/>
  </w:font>
  <w:font w:name="黑体">
    <w:altName w:val="SimHei"/>
    <w:panose1 w:val="02010609060101010101"/>
    <w:charset w:val="86"/>
    <w:family w:val="modern"/>
    <w:pitch w:val="fixed"/>
    <w:sig w:usb0="800002BF" w:usb1="38CF7CFA" w:usb2="00000016" w:usb3="00000000" w:csb0="00040001" w:csb1="00000000"/>
    <w:embedRegular r:id="rId5" w:subsetted="1" w:fontKey="{FDC18D31-90F6-4440-95E7-480CBA27ED61}"/>
  </w:font>
  <w:font w:name="楷体">
    <w:panose1 w:val="02010609060101010101"/>
    <w:charset w:val="86"/>
    <w:family w:val="modern"/>
    <w:pitch w:val="fixed"/>
    <w:sig w:usb0="800002BF" w:usb1="38CF7CFA" w:usb2="00000016" w:usb3="00000000" w:csb0="00040001" w:csb1="00000000"/>
    <w:embedRegular r:id="rId6" w:subsetted="1" w:fontKey="{0EDCA628-FED1-4FF5-AEED-73962F72750C}"/>
  </w:font>
  <w:font w:name="方正仿宋_GB2312">
    <w:charset w:val="86"/>
    <w:family w:val="auto"/>
    <w:pitch w:val="default"/>
    <w:sig w:usb0="A00002BF" w:usb1="184F6CFA" w:usb2="00000012"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8A6" w:rsidRDefault="00BB56CA">
    <w:pPr>
      <w:pStyle w:val="aa"/>
    </w:pPr>
    <w:r>
      <w:pict>
        <v:shapetype id="_x0000_t202" coordsize="21600,21600" o:spt="202" path="m,l,21600r21600,l21600,xe">
          <v:stroke joinstyle="miter"/>
          <v:path gradientshapeok="t" o:connecttype="rect"/>
        </v:shapetype>
        <v:shape id="_x0000_s2049" type="#_x0000_t202" style="position:absolute;margin-left:208pt;margin-top:0;width:2in;height:2in;z-index:25166336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filled="f" stroked="f" strokeweight=".5pt">
          <v:textbox style="mso-fit-shape-to-text:t" inset="0,0,0,0">
            <w:txbxContent>
              <w:p w:rsidR="001328A6" w:rsidRDefault="007F3236">
                <w:pPr>
                  <w:pStyle w:val="aa"/>
                  <w:rPr>
                    <w:rFonts w:ascii="Times New Roman" w:hAnsi="Times New Roman" w:cs="Times New Roman"/>
                    <w:sz w:val="28"/>
                  </w:rPr>
                </w:pPr>
                <w:r>
                  <w:rPr>
                    <w:rFonts w:ascii="Times New Roman" w:hAnsi="Times New Roman" w:cs="Times New Roman"/>
                    <w:sz w:val="28"/>
                  </w:rPr>
                  <w:t>—</w:t>
                </w:r>
                <w:r w:rsidR="00BB56CA">
                  <w:rPr>
                    <w:rFonts w:ascii="Times New Roman" w:hAnsi="Times New Roman" w:cs="Times New Roman"/>
                    <w:sz w:val="28"/>
                  </w:rPr>
                  <w:fldChar w:fldCharType="begin"/>
                </w:r>
                <w:r>
                  <w:rPr>
                    <w:rFonts w:ascii="Times New Roman" w:hAnsi="Times New Roman" w:cs="Times New Roman"/>
                    <w:sz w:val="28"/>
                  </w:rPr>
                  <w:instrText xml:space="preserve"> PAGE  \* MERGEFORMAT </w:instrText>
                </w:r>
                <w:r w:rsidR="00BB56CA">
                  <w:rPr>
                    <w:rFonts w:ascii="Times New Roman" w:hAnsi="Times New Roman" w:cs="Times New Roman"/>
                    <w:sz w:val="28"/>
                  </w:rPr>
                  <w:fldChar w:fldCharType="separate"/>
                </w:r>
                <w:r w:rsidR="00904272">
                  <w:rPr>
                    <w:rFonts w:ascii="Times New Roman" w:hAnsi="Times New Roman" w:cs="Times New Roman"/>
                    <w:noProof/>
                    <w:sz w:val="28"/>
                  </w:rPr>
                  <w:t>2</w:t>
                </w:r>
                <w:r w:rsidR="00BB56CA">
                  <w:rPr>
                    <w:rFonts w:ascii="Times New Roman" w:hAnsi="Times New Roman" w:cs="Times New Roman"/>
                    <w:sz w:val="28"/>
                  </w:rPr>
                  <w:fldChar w:fldCharType="end"/>
                </w:r>
                <w:r>
                  <w:rPr>
                    <w:rFonts w:ascii="Times New Roman" w:hAnsi="Times New Roman" w:cs="Times New Roman"/>
                    <w:sz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58B" w:rsidRDefault="00A4058B" w:rsidP="001328A6">
      <w:r>
        <w:separator/>
      </w:r>
    </w:p>
  </w:footnote>
  <w:footnote w:type="continuationSeparator" w:id="1">
    <w:p w:rsidR="00A4058B" w:rsidRDefault="00A4058B" w:rsidP="001328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AD9E27"/>
    <w:multiLevelType w:val="singleLevel"/>
    <w:tmpl w:val="DBAD9E27"/>
    <w:lvl w:ilvl="0">
      <w:start w:val="1"/>
      <w:numFmt w:val="chineseCounting"/>
      <w:suff w:val="space"/>
      <w:lvlText w:val="第%1章"/>
      <w:lvlJc w:val="left"/>
      <w:rPr>
        <w:rFonts w:hint="eastAsia"/>
      </w:rPr>
    </w:lvl>
  </w:abstractNum>
  <w:abstractNum w:abstractNumId="1">
    <w:nsid w:val="12C570EE"/>
    <w:multiLevelType w:val="singleLevel"/>
    <w:tmpl w:val="12C570EE"/>
    <w:lvl w:ilvl="0">
      <w:start w:val="1"/>
      <w:numFmt w:val="chineseCounting"/>
      <w:suff w:val="space"/>
      <w:lvlText w:val="第%1节"/>
      <w:lvlJc w:val="left"/>
      <w:rPr>
        <w:rFonts w:hint="eastAsia"/>
      </w:rPr>
    </w:lvl>
  </w:abstractNum>
  <w:abstractNum w:abstractNumId="2">
    <w:nsid w:val="2584CE49"/>
    <w:multiLevelType w:val="singleLevel"/>
    <w:tmpl w:val="2584CE49"/>
    <w:lvl w:ilvl="0">
      <w:start w:val="2"/>
      <w:numFmt w:val="chineseCounting"/>
      <w:suff w:val="space"/>
      <w:lvlText w:val="第%1节"/>
      <w:lvlJc w:val="left"/>
      <w:rPr>
        <w:rFonts w:hint="eastAsia"/>
      </w:rPr>
    </w:lvl>
  </w:abstractNum>
  <w:abstractNum w:abstractNumId="3">
    <w:nsid w:val="267E5C0E"/>
    <w:multiLevelType w:val="singleLevel"/>
    <w:tmpl w:val="267E5C0E"/>
    <w:lvl w:ilvl="0">
      <w:start w:val="9"/>
      <w:numFmt w:val="chineseCounting"/>
      <w:suff w:val="space"/>
      <w:lvlText w:val="第%1章"/>
      <w:lvlJc w:val="left"/>
      <w:rPr>
        <w:rFonts w:hint="eastAsia"/>
      </w:rPr>
    </w:lvl>
  </w:abstractNum>
  <w:abstractNum w:abstractNumId="4">
    <w:nsid w:val="785FC13B"/>
    <w:multiLevelType w:val="singleLevel"/>
    <w:tmpl w:val="785FC13B"/>
    <w:lvl w:ilvl="0">
      <w:start w:val="1"/>
      <w:numFmt w:val="chineseCounting"/>
      <w:suff w:val="space"/>
      <w:lvlText w:val="第%1篇"/>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512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F6AB7"/>
    <w:rsid w:val="00002702"/>
    <w:rsid w:val="00003F7C"/>
    <w:rsid w:val="00005187"/>
    <w:rsid w:val="000066F8"/>
    <w:rsid w:val="00010399"/>
    <w:rsid w:val="00010909"/>
    <w:rsid w:val="0001147D"/>
    <w:rsid w:val="00011667"/>
    <w:rsid w:val="00012239"/>
    <w:rsid w:val="0001393D"/>
    <w:rsid w:val="00015064"/>
    <w:rsid w:val="000150F3"/>
    <w:rsid w:val="0001729A"/>
    <w:rsid w:val="000200B7"/>
    <w:rsid w:val="00021F50"/>
    <w:rsid w:val="000231C7"/>
    <w:rsid w:val="00023B6B"/>
    <w:rsid w:val="00024406"/>
    <w:rsid w:val="00025E3F"/>
    <w:rsid w:val="0002737C"/>
    <w:rsid w:val="0002746F"/>
    <w:rsid w:val="0003004A"/>
    <w:rsid w:val="000342E5"/>
    <w:rsid w:val="00034906"/>
    <w:rsid w:val="00034924"/>
    <w:rsid w:val="000352B6"/>
    <w:rsid w:val="000357BA"/>
    <w:rsid w:val="00036379"/>
    <w:rsid w:val="00036504"/>
    <w:rsid w:val="00040108"/>
    <w:rsid w:val="0004065E"/>
    <w:rsid w:val="000409C5"/>
    <w:rsid w:val="00041A77"/>
    <w:rsid w:val="00041BC3"/>
    <w:rsid w:val="00042398"/>
    <w:rsid w:val="0004267A"/>
    <w:rsid w:val="00044AD5"/>
    <w:rsid w:val="00044BEE"/>
    <w:rsid w:val="00045881"/>
    <w:rsid w:val="0004671F"/>
    <w:rsid w:val="00046A98"/>
    <w:rsid w:val="00046D0C"/>
    <w:rsid w:val="00052F76"/>
    <w:rsid w:val="000550CD"/>
    <w:rsid w:val="00055316"/>
    <w:rsid w:val="0006230F"/>
    <w:rsid w:val="00064D14"/>
    <w:rsid w:val="0006587C"/>
    <w:rsid w:val="0006602A"/>
    <w:rsid w:val="00067AC4"/>
    <w:rsid w:val="00067AC5"/>
    <w:rsid w:val="00067CA3"/>
    <w:rsid w:val="000708EB"/>
    <w:rsid w:val="00070CAB"/>
    <w:rsid w:val="0007135F"/>
    <w:rsid w:val="00071F52"/>
    <w:rsid w:val="00072F32"/>
    <w:rsid w:val="0007369B"/>
    <w:rsid w:val="00074382"/>
    <w:rsid w:val="00074E15"/>
    <w:rsid w:val="00075863"/>
    <w:rsid w:val="00077140"/>
    <w:rsid w:val="00077241"/>
    <w:rsid w:val="00080AEB"/>
    <w:rsid w:val="00081E20"/>
    <w:rsid w:val="00082A88"/>
    <w:rsid w:val="00083699"/>
    <w:rsid w:val="0008594F"/>
    <w:rsid w:val="00085F78"/>
    <w:rsid w:val="000861A3"/>
    <w:rsid w:val="00087033"/>
    <w:rsid w:val="00087499"/>
    <w:rsid w:val="00090483"/>
    <w:rsid w:val="000905E9"/>
    <w:rsid w:val="0009117A"/>
    <w:rsid w:val="000912DC"/>
    <w:rsid w:val="00091BA3"/>
    <w:rsid w:val="00093234"/>
    <w:rsid w:val="000947B9"/>
    <w:rsid w:val="00095006"/>
    <w:rsid w:val="0009548D"/>
    <w:rsid w:val="00095718"/>
    <w:rsid w:val="00095D65"/>
    <w:rsid w:val="000962C1"/>
    <w:rsid w:val="00097D8D"/>
    <w:rsid w:val="000A0973"/>
    <w:rsid w:val="000A125F"/>
    <w:rsid w:val="000A35BC"/>
    <w:rsid w:val="000A3664"/>
    <w:rsid w:val="000A3AA0"/>
    <w:rsid w:val="000A4FE5"/>
    <w:rsid w:val="000A672F"/>
    <w:rsid w:val="000A67DC"/>
    <w:rsid w:val="000A6B0B"/>
    <w:rsid w:val="000A6B1E"/>
    <w:rsid w:val="000A6C2F"/>
    <w:rsid w:val="000B1775"/>
    <w:rsid w:val="000B20B6"/>
    <w:rsid w:val="000B39E2"/>
    <w:rsid w:val="000B3D96"/>
    <w:rsid w:val="000B5D12"/>
    <w:rsid w:val="000B6976"/>
    <w:rsid w:val="000B6A4B"/>
    <w:rsid w:val="000B6AAF"/>
    <w:rsid w:val="000B6AE2"/>
    <w:rsid w:val="000B7B06"/>
    <w:rsid w:val="000C03DD"/>
    <w:rsid w:val="000C115D"/>
    <w:rsid w:val="000C2389"/>
    <w:rsid w:val="000C29F1"/>
    <w:rsid w:val="000C2AE8"/>
    <w:rsid w:val="000C3A71"/>
    <w:rsid w:val="000C3AAE"/>
    <w:rsid w:val="000C4655"/>
    <w:rsid w:val="000C4A5A"/>
    <w:rsid w:val="000C656D"/>
    <w:rsid w:val="000C6E0E"/>
    <w:rsid w:val="000D0740"/>
    <w:rsid w:val="000D076F"/>
    <w:rsid w:val="000D23B7"/>
    <w:rsid w:val="000D2929"/>
    <w:rsid w:val="000D384E"/>
    <w:rsid w:val="000D40EA"/>
    <w:rsid w:val="000D556E"/>
    <w:rsid w:val="000D5D50"/>
    <w:rsid w:val="000D6778"/>
    <w:rsid w:val="000D6994"/>
    <w:rsid w:val="000D6CB3"/>
    <w:rsid w:val="000D7158"/>
    <w:rsid w:val="000E0A80"/>
    <w:rsid w:val="000E20F3"/>
    <w:rsid w:val="000E2CAF"/>
    <w:rsid w:val="000E3A57"/>
    <w:rsid w:val="000E62B8"/>
    <w:rsid w:val="000E6F41"/>
    <w:rsid w:val="000E7558"/>
    <w:rsid w:val="000F056C"/>
    <w:rsid w:val="000F0D12"/>
    <w:rsid w:val="000F0F60"/>
    <w:rsid w:val="000F1D1A"/>
    <w:rsid w:val="000F1ED1"/>
    <w:rsid w:val="000F1FC9"/>
    <w:rsid w:val="000F2970"/>
    <w:rsid w:val="000F3169"/>
    <w:rsid w:val="000F4E01"/>
    <w:rsid w:val="000F50D1"/>
    <w:rsid w:val="000F5755"/>
    <w:rsid w:val="000F5C90"/>
    <w:rsid w:val="000F6EAA"/>
    <w:rsid w:val="000F7258"/>
    <w:rsid w:val="000F7D50"/>
    <w:rsid w:val="001000EF"/>
    <w:rsid w:val="001007A8"/>
    <w:rsid w:val="00100BC5"/>
    <w:rsid w:val="00101096"/>
    <w:rsid w:val="00101BCA"/>
    <w:rsid w:val="00102ADF"/>
    <w:rsid w:val="00103B0C"/>
    <w:rsid w:val="00106024"/>
    <w:rsid w:val="001067CA"/>
    <w:rsid w:val="001075C2"/>
    <w:rsid w:val="00110314"/>
    <w:rsid w:val="0011434C"/>
    <w:rsid w:val="0011509D"/>
    <w:rsid w:val="0011595B"/>
    <w:rsid w:val="00115BEC"/>
    <w:rsid w:val="00116271"/>
    <w:rsid w:val="001166B0"/>
    <w:rsid w:val="00117F7F"/>
    <w:rsid w:val="001202DB"/>
    <w:rsid w:val="0012065F"/>
    <w:rsid w:val="00120C06"/>
    <w:rsid w:val="0012213E"/>
    <w:rsid w:val="001232FC"/>
    <w:rsid w:val="0012351B"/>
    <w:rsid w:val="001237BE"/>
    <w:rsid w:val="001246CA"/>
    <w:rsid w:val="001246D0"/>
    <w:rsid w:val="001246EB"/>
    <w:rsid w:val="001247F6"/>
    <w:rsid w:val="00125676"/>
    <w:rsid w:val="001256A6"/>
    <w:rsid w:val="001270FD"/>
    <w:rsid w:val="00127CB7"/>
    <w:rsid w:val="0013008D"/>
    <w:rsid w:val="001311FC"/>
    <w:rsid w:val="00131878"/>
    <w:rsid w:val="001318F1"/>
    <w:rsid w:val="001328A6"/>
    <w:rsid w:val="001328FC"/>
    <w:rsid w:val="001329F1"/>
    <w:rsid w:val="00133325"/>
    <w:rsid w:val="001347F7"/>
    <w:rsid w:val="00134D05"/>
    <w:rsid w:val="0013549A"/>
    <w:rsid w:val="00135D64"/>
    <w:rsid w:val="00136B6D"/>
    <w:rsid w:val="001402C8"/>
    <w:rsid w:val="00140723"/>
    <w:rsid w:val="00140AC4"/>
    <w:rsid w:val="00141301"/>
    <w:rsid w:val="001414FC"/>
    <w:rsid w:val="0014194D"/>
    <w:rsid w:val="00142720"/>
    <w:rsid w:val="001436B6"/>
    <w:rsid w:val="001464B2"/>
    <w:rsid w:val="00146C21"/>
    <w:rsid w:val="00146F77"/>
    <w:rsid w:val="00150022"/>
    <w:rsid w:val="001503A4"/>
    <w:rsid w:val="0015120D"/>
    <w:rsid w:val="00152C74"/>
    <w:rsid w:val="001531F5"/>
    <w:rsid w:val="00153BA4"/>
    <w:rsid w:val="00157C63"/>
    <w:rsid w:val="0016005B"/>
    <w:rsid w:val="00160CC7"/>
    <w:rsid w:val="001617D5"/>
    <w:rsid w:val="001625B0"/>
    <w:rsid w:val="001648BE"/>
    <w:rsid w:val="00164B3F"/>
    <w:rsid w:val="00164FBA"/>
    <w:rsid w:val="001668E6"/>
    <w:rsid w:val="00167B09"/>
    <w:rsid w:val="0017029E"/>
    <w:rsid w:val="001727A2"/>
    <w:rsid w:val="0017309F"/>
    <w:rsid w:val="00173D96"/>
    <w:rsid w:val="001741B7"/>
    <w:rsid w:val="00174AD5"/>
    <w:rsid w:val="00174F28"/>
    <w:rsid w:val="00175CB0"/>
    <w:rsid w:val="00176A20"/>
    <w:rsid w:val="00177127"/>
    <w:rsid w:val="00177C9A"/>
    <w:rsid w:val="00180B03"/>
    <w:rsid w:val="00181224"/>
    <w:rsid w:val="001816CC"/>
    <w:rsid w:val="001831D0"/>
    <w:rsid w:val="00183356"/>
    <w:rsid w:val="001837B6"/>
    <w:rsid w:val="001838E9"/>
    <w:rsid w:val="00184B20"/>
    <w:rsid w:val="00185CFF"/>
    <w:rsid w:val="00186E65"/>
    <w:rsid w:val="0019050D"/>
    <w:rsid w:val="0019240D"/>
    <w:rsid w:val="0019283A"/>
    <w:rsid w:val="00197A12"/>
    <w:rsid w:val="001A13F2"/>
    <w:rsid w:val="001A204C"/>
    <w:rsid w:val="001A2F18"/>
    <w:rsid w:val="001A2FAF"/>
    <w:rsid w:val="001A4F89"/>
    <w:rsid w:val="001A5E8A"/>
    <w:rsid w:val="001A657E"/>
    <w:rsid w:val="001B020D"/>
    <w:rsid w:val="001B2E7E"/>
    <w:rsid w:val="001B4BEA"/>
    <w:rsid w:val="001C11C3"/>
    <w:rsid w:val="001C13DC"/>
    <w:rsid w:val="001C1533"/>
    <w:rsid w:val="001C2646"/>
    <w:rsid w:val="001C28EC"/>
    <w:rsid w:val="001C3305"/>
    <w:rsid w:val="001C356D"/>
    <w:rsid w:val="001C4302"/>
    <w:rsid w:val="001C53B6"/>
    <w:rsid w:val="001C5811"/>
    <w:rsid w:val="001C61A8"/>
    <w:rsid w:val="001C6D3F"/>
    <w:rsid w:val="001C752E"/>
    <w:rsid w:val="001C7863"/>
    <w:rsid w:val="001C78C6"/>
    <w:rsid w:val="001C7DBD"/>
    <w:rsid w:val="001C7F96"/>
    <w:rsid w:val="001D105B"/>
    <w:rsid w:val="001D2363"/>
    <w:rsid w:val="001D2894"/>
    <w:rsid w:val="001D477A"/>
    <w:rsid w:val="001D4E47"/>
    <w:rsid w:val="001D6946"/>
    <w:rsid w:val="001D6F89"/>
    <w:rsid w:val="001D71A1"/>
    <w:rsid w:val="001E22EB"/>
    <w:rsid w:val="001E310F"/>
    <w:rsid w:val="001E36C8"/>
    <w:rsid w:val="001E3BC5"/>
    <w:rsid w:val="001E41AC"/>
    <w:rsid w:val="001E4212"/>
    <w:rsid w:val="001E444D"/>
    <w:rsid w:val="001F0E46"/>
    <w:rsid w:val="001F2043"/>
    <w:rsid w:val="001F2065"/>
    <w:rsid w:val="001F4C51"/>
    <w:rsid w:val="001F506B"/>
    <w:rsid w:val="001F542C"/>
    <w:rsid w:val="001F6773"/>
    <w:rsid w:val="001F787F"/>
    <w:rsid w:val="0020524A"/>
    <w:rsid w:val="002055BC"/>
    <w:rsid w:val="00205ADA"/>
    <w:rsid w:val="002076D5"/>
    <w:rsid w:val="002109CE"/>
    <w:rsid w:val="00210AD1"/>
    <w:rsid w:val="00211023"/>
    <w:rsid w:val="00211383"/>
    <w:rsid w:val="002116B9"/>
    <w:rsid w:val="002126BB"/>
    <w:rsid w:val="00212F3A"/>
    <w:rsid w:val="00213526"/>
    <w:rsid w:val="00213621"/>
    <w:rsid w:val="002142A2"/>
    <w:rsid w:val="00214CC1"/>
    <w:rsid w:val="00216D58"/>
    <w:rsid w:val="00217EB3"/>
    <w:rsid w:val="0022107B"/>
    <w:rsid w:val="002211AD"/>
    <w:rsid w:val="00222269"/>
    <w:rsid w:val="00222BCD"/>
    <w:rsid w:val="00224111"/>
    <w:rsid w:val="00224754"/>
    <w:rsid w:val="0022510D"/>
    <w:rsid w:val="00225978"/>
    <w:rsid w:val="002260D0"/>
    <w:rsid w:val="002273E4"/>
    <w:rsid w:val="0023104D"/>
    <w:rsid w:val="00234BE0"/>
    <w:rsid w:val="00236656"/>
    <w:rsid w:val="00236F82"/>
    <w:rsid w:val="0023724E"/>
    <w:rsid w:val="0023734C"/>
    <w:rsid w:val="00237442"/>
    <w:rsid w:val="00237C3D"/>
    <w:rsid w:val="00242FA5"/>
    <w:rsid w:val="00243121"/>
    <w:rsid w:val="002433F1"/>
    <w:rsid w:val="00244312"/>
    <w:rsid w:val="00244C63"/>
    <w:rsid w:val="00246764"/>
    <w:rsid w:val="002468C4"/>
    <w:rsid w:val="00247188"/>
    <w:rsid w:val="00251093"/>
    <w:rsid w:val="00252966"/>
    <w:rsid w:val="0025770D"/>
    <w:rsid w:val="00261023"/>
    <w:rsid w:val="00261A2B"/>
    <w:rsid w:val="00262665"/>
    <w:rsid w:val="002629B7"/>
    <w:rsid w:val="00263B26"/>
    <w:rsid w:val="00263EEC"/>
    <w:rsid w:val="002642F4"/>
    <w:rsid w:val="00264A47"/>
    <w:rsid w:val="00264AFC"/>
    <w:rsid w:val="00267D88"/>
    <w:rsid w:val="00270D4F"/>
    <w:rsid w:val="00270E34"/>
    <w:rsid w:val="00273890"/>
    <w:rsid w:val="00275897"/>
    <w:rsid w:val="00275E3A"/>
    <w:rsid w:val="00276507"/>
    <w:rsid w:val="00276916"/>
    <w:rsid w:val="002775D0"/>
    <w:rsid w:val="00280AD3"/>
    <w:rsid w:val="002834C3"/>
    <w:rsid w:val="002838C8"/>
    <w:rsid w:val="00283A09"/>
    <w:rsid w:val="00284118"/>
    <w:rsid w:val="00284251"/>
    <w:rsid w:val="002843F7"/>
    <w:rsid w:val="00284844"/>
    <w:rsid w:val="00286265"/>
    <w:rsid w:val="002947DE"/>
    <w:rsid w:val="002951AC"/>
    <w:rsid w:val="002959AF"/>
    <w:rsid w:val="0029762E"/>
    <w:rsid w:val="002A0841"/>
    <w:rsid w:val="002A1B2A"/>
    <w:rsid w:val="002A22D2"/>
    <w:rsid w:val="002A3306"/>
    <w:rsid w:val="002A3D29"/>
    <w:rsid w:val="002A55E5"/>
    <w:rsid w:val="002A57D4"/>
    <w:rsid w:val="002A7ED1"/>
    <w:rsid w:val="002B0A12"/>
    <w:rsid w:val="002B0BED"/>
    <w:rsid w:val="002B238B"/>
    <w:rsid w:val="002B499E"/>
    <w:rsid w:val="002B5034"/>
    <w:rsid w:val="002B6368"/>
    <w:rsid w:val="002B6ECD"/>
    <w:rsid w:val="002B71BF"/>
    <w:rsid w:val="002C0471"/>
    <w:rsid w:val="002C0A28"/>
    <w:rsid w:val="002C173E"/>
    <w:rsid w:val="002C341E"/>
    <w:rsid w:val="002C4607"/>
    <w:rsid w:val="002C7328"/>
    <w:rsid w:val="002C7374"/>
    <w:rsid w:val="002D06C1"/>
    <w:rsid w:val="002D0A45"/>
    <w:rsid w:val="002D0D43"/>
    <w:rsid w:val="002D117B"/>
    <w:rsid w:val="002D14D5"/>
    <w:rsid w:val="002D20CE"/>
    <w:rsid w:val="002D2780"/>
    <w:rsid w:val="002D3981"/>
    <w:rsid w:val="002D3CFB"/>
    <w:rsid w:val="002D4216"/>
    <w:rsid w:val="002D470B"/>
    <w:rsid w:val="002D4D4C"/>
    <w:rsid w:val="002D5237"/>
    <w:rsid w:val="002D54E4"/>
    <w:rsid w:val="002D612B"/>
    <w:rsid w:val="002D6E38"/>
    <w:rsid w:val="002E0258"/>
    <w:rsid w:val="002E11C5"/>
    <w:rsid w:val="002E12AE"/>
    <w:rsid w:val="002E1D37"/>
    <w:rsid w:val="002E1F1E"/>
    <w:rsid w:val="002E22F0"/>
    <w:rsid w:val="002E3B50"/>
    <w:rsid w:val="002E4431"/>
    <w:rsid w:val="002E6076"/>
    <w:rsid w:val="002E6630"/>
    <w:rsid w:val="002E7F79"/>
    <w:rsid w:val="002F09EB"/>
    <w:rsid w:val="002F119D"/>
    <w:rsid w:val="002F5C99"/>
    <w:rsid w:val="002F7F6D"/>
    <w:rsid w:val="00300836"/>
    <w:rsid w:val="003008EF"/>
    <w:rsid w:val="00302C32"/>
    <w:rsid w:val="00303642"/>
    <w:rsid w:val="00304463"/>
    <w:rsid w:val="0030490B"/>
    <w:rsid w:val="0030496E"/>
    <w:rsid w:val="0030536D"/>
    <w:rsid w:val="0030574C"/>
    <w:rsid w:val="00305B02"/>
    <w:rsid w:val="003061D4"/>
    <w:rsid w:val="00306F96"/>
    <w:rsid w:val="00310542"/>
    <w:rsid w:val="003107DE"/>
    <w:rsid w:val="00310A51"/>
    <w:rsid w:val="00310B84"/>
    <w:rsid w:val="00312B68"/>
    <w:rsid w:val="003137E9"/>
    <w:rsid w:val="00313CFE"/>
    <w:rsid w:val="003166FE"/>
    <w:rsid w:val="00317D86"/>
    <w:rsid w:val="003223F1"/>
    <w:rsid w:val="00323C4D"/>
    <w:rsid w:val="00323FCC"/>
    <w:rsid w:val="003243E3"/>
    <w:rsid w:val="0032457F"/>
    <w:rsid w:val="00325DF6"/>
    <w:rsid w:val="00325FE6"/>
    <w:rsid w:val="00326012"/>
    <w:rsid w:val="003261CF"/>
    <w:rsid w:val="00326652"/>
    <w:rsid w:val="00326CB5"/>
    <w:rsid w:val="00327009"/>
    <w:rsid w:val="00327140"/>
    <w:rsid w:val="00331104"/>
    <w:rsid w:val="00332207"/>
    <w:rsid w:val="003325C0"/>
    <w:rsid w:val="00333889"/>
    <w:rsid w:val="003341BB"/>
    <w:rsid w:val="003349CC"/>
    <w:rsid w:val="00334A41"/>
    <w:rsid w:val="00335EC0"/>
    <w:rsid w:val="00335F4A"/>
    <w:rsid w:val="0033697E"/>
    <w:rsid w:val="003409FA"/>
    <w:rsid w:val="00341EA8"/>
    <w:rsid w:val="00345158"/>
    <w:rsid w:val="003455F7"/>
    <w:rsid w:val="00346604"/>
    <w:rsid w:val="0034743B"/>
    <w:rsid w:val="00351335"/>
    <w:rsid w:val="00351B5D"/>
    <w:rsid w:val="00352284"/>
    <w:rsid w:val="0035277F"/>
    <w:rsid w:val="0035300F"/>
    <w:rsid w:val="003554FA"/>
    <w:rsid w:val="00355588"/>
    <w:rsid w:val="00355F84"/>
    <w:rsid w:val="00360702"/>
    <w:rsid w:val="0036283C"/>
    <w:rsid w:val="0036339A"/>
    <w:rsid w:val="00363ABC"/>
    <w:rsid w:val="00363C51"/>
    <w:rsid w:val="00365EBD"/>
    <w:rsid w:val="00366C55"/>
    <w:rsid w:val="00367624"/>
    <w:rsid w:val="00367FA3"/>
    <w:rsid w:val="00367FC9"/>
    <w:rsid w:val="00370226"/>
    <w:rsid w:val="00370656"/>
    <w:rsid w:val="00370B0E"/>
    <w:rsid w:val="003722DA"/>
    <w:rsid w:val="00372F91"/>
    <w:rsid w:val="00374B59"/>
    <w:rsid w:val="00374FA1"/>
    <w:rsid w:val="00375460"/>
    <w:rsid w:val="003754A1"/>
    <w:rsid w:val="00380EDE"/>
    <w:rsid w:val="00380FDE"/>
    <w:rsid w:val="00381849"/>
    <w:rsid w:val="00382B22"/>
    <w:rsid w:val="00383701"/>
    <w:rsid w:val="00384CE5"/>
    <w:rsid w:val="00384D90"/>
    <w:rsid w:val="00385129"/>
    <w:rsid w:val="003856EE"/>
    <w:rsid w:val="00385971"/>
    <w:rsid w:val="0038629E"/>
    <w:rsid w:val="00386890"/>
    <w:rsid w:val="00387116"/>
    <w:rsid w:val="00387FED"/>
    <w:rsid w:val="003904C2"/>
    <w:rsid w:val="00390B19"/>
    <w:rsid w:val="003937D1"/>
    <w:rsid w:val="00394579"/>
    <w:rsid w:val="0039664B"/>
    <w:rsid w:val="0039714D"/>
    <w:rsid w:val="00397346"/>
    <w:rsid w:val="003A3DDF"/>
    <w:rsid w:val="003A47DD"/>
    <w:rsid w:val="003A568B"/>
    <w:rsid w:val="003A5B8F"/>
    <w:rsid w:val="003A7128"/>
    <w:rsid w:val="003B1C04"/>
    <w:rsid w:val="003B2ADD"/>
    <w:rsid w:val="003B39DD"/>
    <w:rsid w:val="003B48F3"/>
    <w:rsid w:val="003B5280"/>
    <w:rsid w:val="003B54F0"/>
    <w:rsid w:val="003B6844"/>
    <w:rsid w:val="003C01D4"/>
    <w:rsid w:val="003C059D"/>
    <w:rsid w:val="003C22A0"/>
    <w:rsid w:val="003C305B"/>
    <w:rsid w:val="003C385C"/>
    <w:rsid w:val="003C38DF"/>
    <w:rsid w:val="003C3E53"/>
    <w:rsid w:val="003C4992"/>
    <w:rsid w:val="003C4B3E"/>
    <w:rsid w:val="003C5213"/>
    <w:rsid w:val="003C52B4"/>
    <w:rsid w:val="003C5907"/>
    <w:rsid w:val="003C7327"/>
    <w:rsid w:val="003C7E9F"/>
    <w:rsid w:val="003D02B2"/>
    <w:rsid w:val="003D162E"/>
    <w:rsid w:val="003D239C"/>
    <w:rsid w:val="003D284B"/>
    <w:rsid w:val="003D4267"/>
    <w:rsid w:val="003D5072"/>
    <w:rsid w:val="003D7BCC"/>
    <w:rsid w:val="003D7BEC"/>
    <w:rsid w:val="003E011C"/>
    <w:rsid w:val="003E0425"/>
    <w:rsid w:val="003E3181"/>
    <w:rsid w:val="003E7047"/>
    <w:rsid w:val="003E715D"/>
    <w:rsid w:val="003E7730"/>
    <w:rsid w:val="003F0C8A"/>
    <w:rsid w:val="003F20FB"/>
    <w:rsid w:val="003F57EA"/>
    <w:rsid w:val="003F583E"/>
    <w:rsid w:val="003F5DA8"/>
    <w:rsid w:val="003F6887"/>
    <w:rsid w:val="003F6AB7"/>
    <w:rsid w:val="003F7324"/>
    <w:rsid w:val="003F7F15"/>
    <w:rsid w:val="0040101E"/>
    <w:rsid w:val="00401DB8"/>
    <w:rsid w:val="0040340F"/>
    <w:rsid w:val="004069BB"/>
    <w:rsid w:val="00412E8D"/>
    <w:rsid w:val="0041590D"/>
    <w:rsid w:val="00415F18"/>
    <w:rsid w:val="00416A4B"/>
    <w:rsid w:val="00416B06"/>
    <w:rsid w:val="00417C33"/>
    <w:rsid w:val="00417CF3"/>
    <w:rsid w:val="00420519"/>
    <w:rsid w:val="00420726"/>
    <w:rsid w:val="00421AC6"/>
    <w:rsid w:val="00422495"/>
    <w:rsid w:val="004248DD"/>
    <w:rsid w:val="00425BB5"/>
    <w:rsid w:val="00426156"/>
    <w:rsid w:val="00426E1E"/>
    <w:rsid w:val="00426EDC"/>
    <w:rsid w:val="004300F3"/>
    <w:rsid w:val="004305BD"/>
    <w:rsid w:val="00430DFF"/>
    <w:rsid w:val="004312CD"/>
    <w:rsid w:val="004313D2"/>
    <w:rsid w:val="00433119"/>
    <w:rsid w:val="00433702"/>
    <w:rsid w:val="00433DBE"/>
    <w:rsid w:val="0043484A"/>
    <w:rsid w:val="00434C1D"/>
    <w:rsid w:val="00435AB1"/>
    <w:rsid w:val="00441499"/>
    <w:rsid w:val="00441C8D"/>
    <w:rsid w:val="0044378D"/>
    <w:rsid w:val="00443EC3"/>
    <w:rsid w:val="00444E59"/>
    <w:rsid w:val="00445949"/>
    <w:rsid w:val="00446088"/>
    <w:rsid w:val="00446641"/>
    <w:rsid w:val="00446F8A"/>
    <w:rsid w:val="004473E1"/>
    <w:rsid w:val="00447E37"/>
    <w:rsid w:val="00452102"/>
    <w:rsid w:val="00452BAA"/>
    <w:rsid w:val="00452D85"/>
    <w:rsid w:val="00453E83"/>
    <w:rsid w:val="004540B4"/>
    <w:rsid w:val="004547E3"/>
    <w:rsid w:val="00456504"/>
    <w:rsid w:val="004600B4"/>
    <w:rsid w:val="0046022E"/>
    <w:rsid w:val="004604C3"/>
    <w:rsid w:val="00461B61"/>
    <w:rsid w:val="0046507E"/>
    <w:rsid w:val="00465B62"/>
    <w:rsid w:val="004708D5"/>
    <w:rsid w:val="004709F2"/>
    <w:rsid w:val="0047185D"/>
    <w:rsid w:val="004755E4"/>
    <w:rsid w:val="00476B10"/>
    <w:rsid w:val="00476E01"/>
    <w:rsid w:val="00476F16"/>
    <w:rsid w:val="0047725E"/>
    <w:rsid w:val="00481612"/>
    <w:rsid w:val="00482916"/>
    <w:rsid w:val="00482D77"/>
    <w:rsid w:val="004836D0"/>
    <w:rsid w:val="00484448"/>
    <w:rsid w:val="0048471D"/>
    <w:rsid w:val="00484AFE"/>
    <w:rsid w:val="00486C82"/>
    <w:rsid w:val="00486E0A"/>
    <w:rsid w:val="00491125"/>
    <w:rsid w:val="004911F1"/>
    <w:rsid w:val="00492315"/>
    <w:rsid w:val="00492532"/>
    <w:rsid w:val="00492CAA"/>
    <w:rsid w:val="00493F04"/>
    <w:rsid w:val="004964E2"/>
    <w:rsid w:val="00496C67"/>
    <w:rsid w:val="004A15EF"/>
    <w:rsid w:val="004A1C1C"/>
    <w:rsid w:val="004A2099"/>
    <w:rsid w:val="004A587A"/>
    <w:rsid w:val="004A5B16"/>
    <w:rsid w:val="004B3376"/>
    <w:rsid w:val="004B3567"/>
    <w:rsid w:val="004B3C1D"/>
    <w:rsid w:val="004B6A62"/>
    <w:rsid w:val="004B76BB"/>
    <w:rsid w:val="004C0941"/>
    <w:rsid w:val="004C165D"/>
    <w:rsid w:val="004C24A9"/>
    <w:rsid w:val="004C4A6B"/>
    <w:rsid w:val="004C51BD"/>
    <w:rsid w:val="004C5D3F"/>
    <w:rsid w:val="004C5D8D"/>
    <w:rsid w:val="004C5FE6"/>
    <w:rsid w:val="004C65CC"/>
    <w:rsid w:val="004C7C2C"/>
    <w:rsid w:val="004D078B"/>
    <w:rsid w:val="004D0AB6"/>
    <w:rsid w:val="004D1C52"/>
    <w:rsid w:val="004D2728"/>
    <w:rsid w:val="004D39A3"/>
    <w:rsid w:val="004D3D35"/>
    <w:rsid w:val="004D431C"/>
    <w:rsid w:val="004D4487"/>
    <w:rsid w:val="004D594B"/>
    <w:rsid w:val="004D5A04"/>
    <w:rsid w:val="004D6620"/>
    <w:rsid w:val="004D66E5"/>
    <w:rsid w:val="004D709F"/>
    <w:rsid w:val="004D7AD3"/>
    <w:rsid w:val="004E13A9"/>
    <w:rsid w:val="004E1B64"/>
    <w:rsid w:val="004E1CC5"/>
    <w:rsid w:val="004E45B3"/>
    <w:rsid w:val="004E5A27"/>
    <w:rsid w:val="004E60E3"/>
    <w:rsid w:val="004F28B9"/>
    <w:rsid w:val="004F2AEE"/>
    <w:rsid w:val="004F2DF3"/>
    <w:rsid w:val="004F3157"/>
    <w:rsid w:val="004F3E07"/>
    <w:rsid w:val="004F65B9"/>
    <w:rsid w:val="004F77BC"/>
    <w:rsid w:val="004F79C6"/>
    <w:rsid w:val="00500B46"/>
    <w:rsid w:val="00500E08"/>
    <w:rsid w:val="005015AD"/>
    <w:rsid w:val="00501DCF"/>
    <w:rsid w:val="00501FD7"/>
    <w:rsid w:val="0050315F"/>
    <w:rsid w:val="0050492C"/>
    <w:rsid w:val="005055D2"/>
    <w:rsid w:val="00506267"/>
    <w:rsid w:val="0050632D"/>
    <w:rsid w:val="005075A8"/>
    <w:rsid w:val="00507B95"/>
    <w:rsid w:val="00510538"/>
    <w:rsid w:val="00510BB4"/>
    <w:rsid w:val="005115E7"/>
    <w:rsid w:val="00511713"/>
    <w:rsid w:val="00511B2C"/>
    <w:rsid w:val="00512D0B"/>
    <w:rsid w:val="00513CDC"/>
    <w:rsid w:val="00514FBA"/>
    <w:rsid w:val="005166FD"/>
    <w:rsid w:val="00517315"/>
    <w:rsid w:val="005206A1"/>
    <w:rsid w:val="0052076F"/>
    <w:rsid w:val="00521696"/>
    <w:rsid w:val="00522371"/>
    <w:rsid w:val="0052281B"/>
    <w:rsid w:val="005241DB"/>
    <w:rsid w:val="00524F2B"/>
    <w:rsid w:val="0052523E"/>
    <w:rsid w:val="00526422"/>
    <w:rsid w:val="00526AB5"/>
    <w:rsid w:val="005277A5"/>
    <w:rsid w:val="005312D9"/>
    <w:rsid w:val="00531950"/>
    <w:rsid w:val="00532511"/>
    <w:rsid w:val="00532FB8"/>
    <w:rsid w:val="00533D8D"/>
    <w:rsid w:val="00533E24"/>
    <w:rsid w:val="00533F70"/>
    <w:rsid w:val="005349DF"/>
    <w:rsid w:val="00535F99"/>
    <w:rsid w:val="00536B20"/>
    <w:rsid w:val="0053789D"/>
    <w:rsid w:val="00540CBE"/>
    <w:rsid w:val="00540EC4"/>
    <w:rsid w:val="00541D69"/>
    <w:rsid w:val="005422D4"/>
    <w:rsid w:val="005447C0"/>
    <w:rsid w:val="00544BA7"/>
    <w:rsid w:val="005472B4"/>
    <w:rsid w:val="005477E9"/>
    <w:rsid w:val="0055241C"/>
    <w:rsid w:val="00554175"/>
    <w:rsid w:val="00554851"/>
    <w:rsid w:val="00555938"/>
    <w:rsid w:val="0055706C"/>
    <w:rsid w:val="00560B37"/>
    <w:rsid w:val="005611D5"/>
    <w:rsid w:val="00561454"/>
    <w:rsid w:val="00561EC1"/>
    <w:rsid w:val="005631DF"/>
    <w:rsid w:val="0056336E"/>
    <w:rsid w:val="00564454"/>
    <w:rsid w:val="005650F3"/>
    <w:rsid w:val="00567EC8"/>
    <w:rsid w:val="005700D6"/>
    <w:rsid w:val="00570AF1"/>
    <w:rsid w:val="00571594"/>
    <w:rsid w:val="00571DFB"/>
    <w:rsid w:val="005738C7"/>
    <w:rsid w:val="00574159"/>
    <w:rsid w:val="005741A1"/>
    <w:rsid w:val="0057441B"/>
    <w:rsid w:val="00575241"/>
    <w:rsid w:val="00575686"/>
    <w:rsid w:val="00576A3E"/>
    <w:rsid w:val="00577CAA"/>
    <w:rsid w:val="00580207"/>
    <w:rsid w:val="00585131"/>
    <w:rsid w:val="0058540C"/>
    <w:rsid w:val="00590078"/>
    <w:rsid w:val="00590540"/>
    <w:rsid w:val="00591210"/>
    <w:rsid w:val="005915F7"/>
    <w:rsid w:val="0059218E"/>
    <w:rsid w:val="005924DA"/>
    <w:rsid w:val="0059279A"/>
    <w:rsid w:val="00593D31"/>
    <w:rsid w:val="00594272"/>
    <w:rsid w:val="00595404"/>
    <w:rsid w:val="00595754"/>
    <w:rsid w:val="00595EAB"/>
    <w:rsid w:val="0059769D"/>
    <w:rsid w:val="005A265E"/>
    <w:rsid w:val="005A2A36"/>
    <w:rsid w:val="005A47D2"/>
    <w:rsid w:val="005A5EAD"/>
    <w:rsid w:val="005A678D"/>
    <w:rsid w:val="005A72CB"/>
    <w:rsid w:val="005A72D3"/>
    <w:rsid w:val="005A7458"/>
    <w:rsid w:val="005B0F2C"/>
    <w:rsid w:val="005B135C"/>
    <w:rsid w:val="005B136E"/>
    <w:rsid w:val="005B1DF3"/>
    <w:rsid w:val="005B2C01"/>
    <w:rsid w:val="005B447D"/>
    <w:rsid w:val="005B46EB"/>
    <w:rsid w:val="005B4935"/>
    <w:rsid w:val="005B54F4"/>
    <w:rsid w:val="005B5592"/>
    <w:rsid w:val="005B67E7"/>
    <w:rsid w:val="005C1A08"/>
    <w:rsid w:val="005C2FF7"/>
    <w:rsid w:val="005C4BBB"/>
    <w:rsid w:val="005C4F9F"/>
    <w:rsid w:val="005C6381"/>
    <w:rsid w:val="005D4425"/>
    <w:rsid w:val="005D4793"/>
    <w:rsid w:val="005D5367"/>
    <w:rsid w:val="005D6860"/>
    <w:rsid w:val="005D6B9E"/>
    <w:rsid w:val="005E0BAC"/>
    <w:rsid w:val="005E0D3B"/>
    <w:rsid w:val="005E0FF7"/>
    <w:rsid w:val="005E1621"/>
    <w:rsid w:val="005E1E22"/>
    <w:rsid w:val="005E2EF2"/>
    <w:rsid w:val="005E4E57"/>
    <w:rsid w:val="005E5F9B"/>
    <w:rsid w:val="005F0C06"/>
    <w:rsid w:val="005F0F3B"/>
    <w:rsid w:val="005F21F4"/>
    <w:rsid w:val="005F30A8"/>
    <w:rsid w:val="005F3490"/>
    <w:rsid w:val="005F6440"/>
    <w:rsid w:val="005F6BD8"/>
    <w:rsid w:val="005F73AF"/>
    <w:rsid w:val="005F7664"/>
    <w:rsid w:val="005F7951"/>
    <w:rsid w:val="00601C08"/>
    <w:rsid w:val="006036DA"/>
    <w:rsid w:val="006047E1"/>
    <w:rsid w:val="0060522B"/>
    <w:rsid w:val="00605B45"/>
    <w:rsid w:val="006066EE"/>
    <w:rsid w:val="0061039B"/>
    <w:rsid w:val="0061041E"/>
    <w:rsid w:val="0061058B"/>
    <w:rsid w:val="00610828"/>
    <w:rsid w:val="0061120D"/>
    <w:rsid w:val="00611BD6"/>
    <w:rsid w:val="00611D5D"/>
    <w:rsid w:val="006129D4"/>
    <w:rsid w:val="00612D7A"/>
    <w:rsid w:val="00613E3A"/>
    <w:rsid w:val="006142AB"/>
    <w:rsid w:val="0061433C"/>
    <w:rsid w:val="00614F32"/>
    <w:rsid w:val="0061514A"/>
    <w:rsid w:val="00615361"/>
    <w:rsid w:val="0061709D"/>
    <w:rsid w:val="00621154"/>
    <w:rsid w:val="00621347"/>
    <w:rsid w:val="00622D6F"/>
    <w:rsid w:val="00624357"/>
    <w:rsid w:val="0062482A"/>
    <w:rsid w:val="0062536F"/>
    <w:rsid w:val="00625C9D"/>
    <w:rsid w:val="00625F3C"/>
    <w:rsid w:val="00626686"/>
    <w:rsid w:val="00626CCA"/>
    <w:rsid w:val="00626F6C"/>
    <w:rsid w:val="006306DF"/>
    <w:rsid w:val="006318CF"/>
    <w:rsid w:val="006319C8"/>
    <w:rsid w:val="006348A3"/>
    <w:rsid w:val="00635F1C"/>
    <w:rsid w:val="006376BE"/>
    <w:rsid w:val="00640084"/>
    <w:rsid w:val="00642163"/>
    <w:rsid w:val="00642D41"/>
    <w:rsid w:val="0064597A"/>
    <w:rsid w:val="00646034"/>
    <w:rsid w:val="0065005B"/>
    <w:rsid w:val="0065020D"/>
    <w:rsid w:val="00650B82"/>
    <w:rsid w:val="00651511"/>
    <w:rsid w:val="00651BDE"/>
    <w:rsid w:val="00651C5B"/>
    <w:rsid w:val="00655363"/>
    <w:rsid w:val="00655EF3"/>
    <w:rsid w:val="00656F86"/>
    <w:rsid w:val="00656FB9"/>
    <w:rsid w:val="00660D5F"/>
    <w:rsid w:val="00661DB6"/>
    <w:rsid w:val="00663441"/>
    <w:rsid w:val="00663DB5"/>
    <w:rsid w:val="0066732E"/>
    <w:rsid w:val="00667A11"/>
    <w:rsid w:val="00667CA7"/>
    <w:rsid w:val="00670914"/>
    <w:rsid w:val="00671EE2"/>
    <w:rsid w:val="00673DDE"/>
    <w:rsid w:val="00673F9D"/>
    <w:rsid w:val="006768D9"/>
    <w:rsid w:val="00677247"/>
    <w:rsid w:val="006819BB"/>
    <w:rsid w:val="00681A82"/>
    <w:rsid w:val="006827AF"/>
    <w:rsid w:val="006847AC"/>
    <w:rsid w:val="00684AB4"/>
    <w:rsid w:val="00684E85"/>
    <w:rsid w:val="006853F6"/>
    <w:rsid w:val="006876AE"/>
    <w:rsid w:val="00690667"/>
    <w:rsid w:val="00691A2E"/>
    <w:rsid w:val="00692A84"/>
    <w:rsid w:val="0069402C"/>
    <w:rsid w:val="00694300"/>
    <w:rsid w:val="006948AE"/>
    <w:rsid w:val="00697FEB"/>
    <w:rsid w:val="006A03DE"/>
    <w:rsid w:val="006A078A"/>
    <w:rsid w:val="006A18E9"/>
    <w:rsid w:val="006A222E"/>
    <w:rsid w:val="006A340E"/>
    <w:rsid w:val="006A36F6"/>
    <w:rsid w:val="006A5520"/>
    <w:rsid w:val="006A68FF"/>
    <w:rsid w:val="006B1112"/>
    <w:rsid w:val="006B1C91"/>
    <w:rsid w:val="006B1DD2"/>
    <w:rsid w:val="006B27F6"/>
    <w:rsid w:val="006B322E"/>
    <w:rsid w:val="006B3B48"/>
    <w:rsid w:val="006B3E97"/>
    <w:rsid w:val="006B5488"/>
    <w:rsid w:val="006B5A77"/>
    <w:rsid w:val="006B6527"/>
    <w:rsid w:val="006B699C"/>
    <w:rsid w:val="006B7382"/>
    <w:rsid w:val="006C080D"/>
    <w:rsid w:val="006C0CB9"/>
    <w:rsid w:val="006C2077"/>
    <w:rsid w:val="006C318F"/>
    <w:rsid w:val="006C3313"/>
    <w:rsid w:val="006C3520"/>
    <w:rsid w:val="006C4059"/>
    <w:rsid w:val="006C4C3E"/>
    <w:rsid w:val="006C4EAA"/>
    <w:rsid w:val="006C54B4"/>
    <w:rsid w:val="006C5CC9"/>
    <w:rsid w:val="006C7BA1"/>
    <w:rsid w:val="006C7F82"/>
    <w:rsid w:val="006D0E8E"/>
    <w:rsid w:val="006D29AF"/>
    <w:rsid w:val="006D304E"/>
    <w:rsid w:val="006D3576"/>
    <w:rsid w:val="006D4DBF"/>
    <w:rsid w:val="006D5218"/>
    <w:rsid w:val="006D597D"/>
    <w:rsid w:val="006D658F"/>
    <w:rsid w:val="006E04DC"/>
    <w:rsid w:val="006E11D7"/>
    <w:rsid w:val="006E49DE"/>
    <w:rsid w:val="006E5473"/>
    <w:rsid w:val="006E5655"/>
    <w:rsid w:val="006E59F5"/>
    <w:rsid w:val="006E7F46"/>
    <w:rsid w:val="006F1354"/>
    <w:rsid w:val="006F2470"/>
    <w:rsid w:val="006F2766"/>
    <w:rsid w:val="006F2822"/>
    <w:rsid w:val="006F479E"/>
    <w:rsid w:val="006F56B9"/>
    <w:rsid w:val="0070006C"/>
    <w:rsid w:val="007001F0"/>
    <w:rsid w:val="007008E7"/>
    <w:rsid w:val="00701C28"/>
    <w:rsid w:val="00702169"/>
    <w:rsid w:val="0070404E"/>
    <w:rsid w:val="00704611"/>
    <w:rsid w:val="00705020"/>
    <w:rsid w:val="007052B7"/>
    <w:rsid w:val="00705621"/>
    <w:rsid w:val="007056CB"/>
    <w:rsid w:val="00706550"/>
    <w:rsid w:val="00706EF8"/>
    <w:rsid w:val="00707373"/>
    <w:rsid w:val="00707A68"/>
    <w:rsid w:val="00707AE4"/>
    <w:rsid w:val="00707D21"/>
    <w:rsid w:val="00710E69"/>
    <w:rsid w:val="00710FF6"/>
    <w:rsid w:val="00711E13"/>
    <w:rsid w:val="007139FC"/>
    <w:rsid w:val="00713F8F"/>
    <w:rsid w:val="007148EC"/>
    <w:rsid w:val="0071582D"/>
    <w:rsid w:val="00716105"/>
    <w:rsid w:val="00716435"/>
    <w:rsid w:val="00717729"/>
    <w:rsid w:val="0072076D"/>
    <w:rsid w:val="0072243F"/>
    <w:rsid w:val="00725923"/>
    <w:rsid w:val="00725A6C"/>
    <w:rsid w:val="00726635"/>
    <w:rsid w:val="00726F7E"/>
    <w:rsid w:val="00727C2E"/>
    <w:rsid w:val="007319F5"/>
    <w:rsid w:val="0073246F"/>
    <w:rsid w:val="00732E90"/>
    <w:rsid w:val="00733068"/>
    <w:rsid w:val="00733946"/>
    <w:rsid w:val="0073445F"/>
    <w:rsid w:val="007348E2"/>
    <w:rsid w:val="00734A52"/>
    <w:rsid w:val="00734BBB"/>
    <w:rsid w:val="007361EC"/>
    <w:rsid w:val="00740FA6"/>
    <w:rsid w:val="00741F80"/>
    <w:rsid w:val="007423E1"/>
    <w:rsid w:val="00743B5B"/>
    <w:rsid w:val="00745917"/>
    <w:rsid w:val="007466F2"/>
    <w:rsid w:val="00747493"/>
    <w:rsid w:val="00747E3A"/>
    <w:rsid w:val="00752CDC"/>
    <w:rsid w:val="00752D1F"/>
    <w:rsid w:val="0075326D"/>
    <w:rsid w:val="007572E5"/>
    <w:rsid w:val="007602A4"/>
    <w:rsid w:val="0076038B"/>
    <w:rsid w:val="007629AF"/>
    <w:rsid w:val="00764636"/>
    <w:rsid w:val="00764FF8"/>
    <w:rsid w:val="00765DBD"/>
    <w:rsid w:val="00770352"/>
    <w:rsid w:val="00772FD1"/>
    <w:rsid w:val="00776005"/>
    <w:rsid w:val="007775F3"/>
    <w:rsid w:val="00777AE0"/>
    <w:rsid w:val="00777C39"/>
    <w:rsid w:val="00780ACA"/>
    <w:rsid w:val="00781F94"/>
    <w:rsid w:val="00784B00"/>
    <w:rsid w:val="00785A2D"/>
    <w:rsid w:val="00785A33"/>
    <w:rsid w:val="00785CD9"/>
    <w:rsid w:val="00787B2C"/>
    <w:rsid w:val="00787DCA"/>
    <w:rsid w:val="00791B21"/>
    <w:rsid w:val="00792169"/>
    <w:rsid w:val="0079361A"/>
    <w:rsid w:val="00793C00"/>
    <w:rsid w:val="00794C0F"/>
    <w:rsid w:val="00794D6B"/>
    <w:rsid w:val="007958D2"/>
    <w:rsid w:val="007967D3"/>
    <w:rsid w:val="00797BFE"/>
    <w:rsid w:val="00797D07"/>
    <w:rsid w:val="007A07C9"/>
    <w:rsid w:val="007A1727"/>
    <w:rsid w:val="007A3102"/>
    <w:rsid w:val="007A31D6"/>
    <w:rsid w:val="007A3A2D"/>
    <w:rsid w:val="007A3FF6"/>
    <w:rsid w:val="007A7740"/>
    <w:rsid w:val="007A77D5"/>
    <w:rsid w:val="007B054E"/>
    <w:rsid w:val="007B0CC1"/>
    <w:rsid w:val="007B26E8"/>
    <w:rsid w:val="007B357B"/>
    <w:rsid w:val="007B38C3"/>
    <w:rsid w:val="007B58D3"/>
    <w:rsid w:val="007B5A62"/>
    <w:rsid w:val="007B7A8E"/>
    <w:rsid w:val="007C0454"/>
    <w:rsid w:val="007C0E40"/>
    <w:rsid w:val="007C174A"/>
    <w:rsid w:val="007C341B"/>
    <w:rsid w:val="007C4C0A"/>
    <w:rsid w:val="007C4CE2"/>
    <w:rsid w:val="007C761C"/>
    <w:rsid w:val="007C7637"/>
    <w:rsid w:val="007C7D81"/>
    <w:rsid w:val="007D1C32"/>
    <w:rsid w:val="007D2C3F"/>
    <w:rsid w:val="007D32ED"/>
    <w:rsid w:val="007D336A"/>
    <w:rsid w:val="007D35F0"/>
    <w:rsid w:val="007D40D6"/>
    <w:rsid w:val="007D4D67"/>
    <w:rsid w:val="007D5283"/>
    <w:rsid w:val="007D5466"/>
    <w:rsid w:val="007D5EF9"/>
    <w:rsid w:val="007D6F12"/>
    <w:rsid w:val="007D7DEA"/>
    <w:rsid w:val="007E224E"/>
    <w:rsid w:val="007E29A3"/>
    <w:rsid w:val="007E2EF1"/>
    <w:rsid w:val="007E34C8"/>
    <w:rsid w:val="007E4254"/>
    <w:rsid w:val="007E4440"/>
    <w:rsid w:val="007E498E"/>
    <w:rsid w:val="007E5827"/>
    <w:rsid w:val="007E663F"/>
    <w:rsid w:val="007E6C1E"/>
    <w:rsid w:val="007E7C2C"/>
    <w:rsid w:val="007F06A4"/>
    <w:rsid w:val="007F0850"/>
    <w:rsid w:val="007F094F"/>
    <w:rsid w:val="007F1169"/>
    <w:rsid w:val="007F1732"/>
    <w:rsid w:val="007F2BBB"/>
    <w:rsid w:val="007F3236"/>
    <w:rsid w:val="007F32D1"/>
    <w:rsid w:val="007F3A76"/>
    <w:rsid w:val="007F3E1D"/>
    <w:rsid w:val="007F3E5D"/>
    <w:rsid w:val="007F6234"/>
    <w:rsid w:val="007F7808"/>
    <w:rsid w:val="007F7E27"/>
    <w:rsid w:val="007F7FD5"/>
    <w:rsid w:val="008010C4"/>
    <w:rsid w:val="008038CF"/>
    <w:rsid w:val="00805124"/>
    <w:rsid w:val="00805275"/>
    <w:rsid w:val="00807798"/>
    <w:rsid w:val="008100E7"/>
    <w:rsid w:val="0081028F"/>
    <w:rsid w:val="0081081D"/>
    <w:rsid w:val="0081104B"/>
    <w:rsid w:val="008110B8"/>
    <w:rsid w:val="0081225F"/>
    <w:rsid w:val="00814CC4"/>
    <w:rsid w:val="00815442"/>
    <w:rsid w:val="008157C7"/>
    <w:rsid w:val="00816050"/>
    <w:rsid w:val="00816C74"/>
    <w:rsid w:val="00820420"/>
    <w:rsid w:val="008215E5"/>
    <w:rsid w:val="00822A59"/>
    <w:rsid w:val="00822D2F"/>
    <w:rsid w:val="00822DAB"/>
    <w:rsid w:val="00823A48"/>
    <w:rsid w:val="0082474D"/>
    <w:rsid w:val="00825707"/>
    <w:rsid w:val="00826C2D"/>
    <w:rsid w:val="008273B5"/>
    <w:rsid w:val="00827B58"/>
    <w:rsid w:val="00830C78"/>
    <w:rsid w:val="008317F7"/>
    <w:rsid w:val="008325BB"/>
    <w:rsid w:val="00832936"/>
    <w:rsid w:val="0083447A"/>
    <w:rsid w:val="00834A90"/>
    <w:rsid w:val="0083561B"/>
    <w:rsid w:val="00835B74"/>
    <w:rsid w:val="00835B7D"/>
    <w:rsid w:val="0083701A"/>
    <w:rsid w:val="0084012E"/>
    <w:rsid w:val="00840D90"/>
    <w:rsid w:val="00841BF6"/>
    <w:rsid w:val="008440FC"/>
    <w:rsid w:val="00844A98"/>
    <w:rsid w:val="00844E2C"/>
    <w:rsid w:val="00844FFF"/>
    <w:rsid w:val="0084644E"/>
    <w:rsid w:val="00846F14"/>
    <w:rsid w:val="00851EE6"/>
    <w:rsid w:val="0085308A"/>
    <w:rsid w:val="008533C4"/>
    <w:rsid w:val="00853B3E"/>
    <w:rsid w:val="0085458E"/>
    <w:rsid w:val="00854F0B"/>
    <w:rsid w:val="00855CFB"/>
    <w:rsid w:val="008567A3"/>
    <w:rsid w:val="00856D0E"/>
    <w:rsid w:val="008572E3"/>
    <w:rsid w:val="00857FC2"/>
    <w:rsid w:val="0086073C"/>
    <w:rsid w:val="00861E1D"/>
    <w:rsid w:val="0086307F"/>
    <w:rsid w:val="0086336F"/>
    <w:rsid w:val="00863467"/>
    <w:rsid w:val="008639FD"/>
    <w:rsid w:val="00863AEA"/>
    <w:rsid w:val="008659AE"/>
    <w:rsid w:val="00866533"/>
    <w:rsid w:val="00866ECF"/>
    <w:rsid w:val="00870597"/>
    <w:rsid w:val="00874273"/>
    <w:rsid w:val="00874879"/>
    <w:rsid w:val="00875359"/>
    <w:rsid w:val="0087578B"/>
    <w:rsid w:val="00876613"/>
    <w:rsid w:val="00876761"/>
    <w:rsid w:val="008768F2"/>
    <w:rsid w:val="0087742A"/>
    <w:rsid w:val="0088051D"/>
    <w:rsid w:val="00883280"/>
    <w:rsid w:val="00884BB8"/>
    <w:rsid w:val="008851A7"/>
    <w:rsid w:val="00886524"/>
    <w:rsid w:val="008872A8"/>
    <w:rsid w:val="008903FE"/>
    <w:rsid w:val="00890A75"/>
    <w:rsid w:val="00891F08"/>
    <w:rsid w:val="00894B7E"/>
    <w:rsid w:val="00895346"/>
    <w:rsid w:val="00897298"/>
    <w:rsid w:val="008A0409"/>
    <w:rsid w:val="008A0B44"/>
    <w:rsid w:val="008A30BA"/>
    <w:rsid w:val="008A3265"/>
    <w:rsid w:val="008A571C"/>
    <w:rsid w:val="008A5865"/>
    <w:rsid w:val="008A5CBA"/>
    <w:rsid w:val="008B0DCF"/>
    <w:rsid w:val="008B139F"/>
    <w:rsid w:val="008B28FE"/>
    <w:rsid w:val="008B369E"/>
    <w:rsid w:val="008B54E0"/>
    <w:rsid w:val="008B5B3A"/>
    <w:rsid w:val="008B6CC0"/>
    <w:rsid w:val="008B6F05"/>
    <w:rsid w:val="008B7841"/>
    <w:rsid w:val="008C166F"/>
    <w:rsid w:val="008C1E4A"/>
    <w:rsid w:val="008C4975"/>
    <w:rsid w:val="008C4A37"/>
    <w:rsid w:val="008C4B4A"/>
    <w:rsid w:val="008C5591"/>
    <w:rsid w:val="008C5800"/>
    <w:rsid w:val="008C5A40"/>
    <w:rsid w:val="008C7370"/>
    <w:rsid w:val="008C7A25"/>
    <w:rsid w:val="008D177B"/>
    <w:rsid w:val="008D1A04"/>
    <w:rsid w:val="008D37F2"/>
    <w:rsid w:val="008D3943"/>
    <w:rsid w:val="008D3DD6"/>
    <w:rsid w:val="008D477D"/>
    <w:rsid w:val="008D4CD6"/>
    <w:rsid w:val="008D59C8"/>
    <w:rsid w:val="008D644F"/>
    <w:rsid w:val="008D6FFC"/>
    <w:rsid w:val="008D7C66"/>
    <w:rsid w:val="008E2ECC"/>
    <w:rsid w:val="008E3295"/>
    <w:rsid w:val="008E443B"/>
    <w:rsid w:val="008E76AB"/>
    <w:rsid w:val="008F09E4"/>
    <w:rsid w:val="008F152A"/>
    <w:rsid w:val="008F1FF9"/>
    <w:rsid w:val="008F3EB8"/>
    <w:rsid w:val="008F46D1"/>
    <w:rsid w:val="008F480C"/>
    <w:rsid w:val="008F5F4D"/>
    <w:rsid w:val="008F6CB2"/>
    <w:rsid w:val="008F7F11"/>
    <w:rsid w:val="008F7F65"/>
    <w:rsid w:val="00900637"/>
    <w:rsid w:val="0090328B"/>
    <w:rsid w:val="00904272"/>
    <w:rsid w:val="00904965"/>
    <w:rsid w:val="0090537B"/>
    <w:rsid w:val="0090601E"/>
    <w:rsid w:val="00907216"/>
    <w:rsid w:val="00910A15"/>
    <w:rsid w:val="00910C64"/>
    <w:rsid w:val="00910E96"/>
    <w:rsid w:val="00910F31"/>
    <w:rsid w:val="0091146E"/>
    <w:rsid w:val="00911678"/>
    <w:rsid w:val="00913226"/>
    <w:rsid w:val="00915E4E"/>
    <w:rsid w:val="00916311"/>
    <w:rsid w:val="00916DC9"/>
    <w:rsid w:val="009174B2"/>
    <w:rsid w:val="00920919"/>
    <w:rsid w:val="00920C1C"/>
    <w:rsid w:val="00920D42"/>
    <w:rsid w:val="0092402C"/>
    <w:rsid w:val="009263EF"/>
    <w:rsid w:val="00926830"/>
    <w:rsid w:val="00930BD7"/>
    <w:rsid w:val="009311EC"/>
    <w:rsid w:val="00931C3E"/>
    <w:rsid w:val="00931ED0"/>
    <w:rsid w:val="0093461E"/>
    <w:rsid w:val="00934C1C"/>
    <w:rsid w:val="00936264"/>
    <w:rsid w:val="009374D1"/>
    <w:rsid w:val="00940006"/>
    <w:rsid w:val="009401EA"/>
    <w:rsid w:val="00940211"/>
    <w:rsid w:val="009405B8"/>
    <w:rsid w:val="00941A8C"/>
    <w:rsid w:val="00942FEB"/>
    <w:rsid w:val="0094497D"/>
    <w:rsid w:val="00944EEF"/>
    <w:rsid w:val="009451C2"/>
    <w:rsid w:val="00945B50"/>
    <w:rsid w:val="00946D83"/>
    <w:rsid w:val="00946EAA"/>
    <w:rsid w:val="009500FC"/>
    <w:rsid w:val="009509D9"/>
    <w:rsid w:val="00951120"/>
    <w:rsid w:val="009520C0"/>
    <w:rsid w:val="009522D4"/>
    <w:rsid w:val="009528CA"/>
    <w:rsid w:val="009528CD"/>
    <w:rsid w:val="009530CA"/>
    <w:rsid w:val="009543C3"/>
    <w:rsid w:val="009544CC"/>
    <w:rsid w:val="0095515A"/>
    <w:rsid w:val="00955AD9"/>
    <w:rsid w:val="00960FB3"/>
    <w:rsid w:val="00961948"/>
    <w:rsid w:val="00961A1B"/>
    <w:rsid w:val="00962349"/>
    <w:rsid w:val="00962B15"/>
    <w:rsid w:val="009631FC"/>
    <w:rsid w:val="00963CA9"/>
    <w:rsid w:val="00964389"/>
    <w:rsid w:val="00965018"/>
    <w:rsid w:val="009660D4"/>
    <w:rsid w:val="009663DA"/>
    <w:rsid w:val="00967ABC"/>
    <w:rsid w:val="00967D4B"/>
    <w:rsid w:val="009706B3"/>
    <w:rsid w:val="00970F75"/>
    <w:rsid w:val="0097133D"/>
    <w:rsid w:val="0097152E"/>
    <w:rsid w:val="00972A66"/>
    <w:rsid w:val="00973AB1"/>
    <w:rsid w:val="00974344"/>
    <w:rsid w:val="009744F2"/>
    <w:rsid w:val="00974BC0"/>
    <w:rsid w:val="00976E5D"/>
    <w:rsid w:val="00977BE0"/>
    <w:rsid w:val="00985716"/>
    <w:rsid w:val="0098573C"/>
    <w:rsid w:val="00985E9A"/>
    <w:rsid w:val="00986133"/>
    <w:rsid w:val="00987872"/>
    <w:rsid w:val="0099073B"/>
    <w:rsid w:val="009911FD"/>
    <w:rsid w:val="00991B48"/>
    <w:rsid w:val="009920A6"/>
    <w:rsid w:val="00992166"/>
    <w:rsid w:val="00992733"/>
    <w:rsid w:val="00993A4F"/>
    <w:rsid w:val="00993FD7"/>
    <w:rsid w:val="00994427"/>
    <w:rsid w:val="00994499"/>
    <w:rsid w:val="00996075"/>
    <w:rsid w:val="009965E4"/>
    <w:rsid w:val="009A0A69"/>
    <w:rsid w:val="009A0AD4"/>
    <w:rsid w:val="009A21B1"/>
    <w:rsid w:val="009A2936"/>
    <w:rsid w:val="009A2C53"/>
    <w:rsid w:val="009A425A"/>
    <w:rsid w:val="009A4BF6"/>
    <w:rsid w:val="009A4E23"/>
    <w:rsid w:val="009A58B6"/>
    <w:rsid w:val="009A6326"/>
    <w:rsid w:val="009A7C87"/>
    <w:rsid w:val="009A7CD1"/>
    <w:rsid w:val="009B08EF"/>
    <w:rsid w:val="009B0B90"/>
    <w:rsid w:val="009B1F6B"/>
    <w:rsid w:val="009B368F"/>
    <w:rsid w:val="009B404A"/>
    <w:rsid w:val="009B5937"/>
    <w:rsid w:val="009B65B0"/>
    <w:rsid w:val="009B67FD"/>
    <w:rsid w:val="009C09B6"/>
    <w:rsid w:val="009C10EC"/>
    <w:rsid w:val="009C131D"/>
    <w:rsid w:val="009C145E"/>
    <w:rsid w:val="009C25D2"/>
    <w:rsid w:val="009C2A98"/>
    <w:rsid w:val="009C2ECF"/>
    <w:rsid w:val="009C462E"/>
    <w:rsid w:val="009C5C8D"/>
    <w:rsid w:val="009C5D7E"/>
    <w:rsid w:val="009C60FB"/>
    <w:rsid w:val="009C628B"/>
    <w:rsid w:val="009C64B4"/>
    <w:rsid w:val="009C7226"/>
    <w:rsid w:val="009C7948"/>
    <w:rsid w:val="009D049A"/>
    <w:rsid w:val="009D0529"/>
    <w:rsid w:val="009D117C"/>
    <w:rsid w:val="009D21E7"/>
    <w:rsid w:val="009D26BA"/>
    <w:rsid w:val="009D3FEF"/>
    <w:rsid w:val="009D4552"/>
    <w:rsid w:val="009D5E6F"/>
    <w:rsid w:val="009D609D"/>
    <w:rsid w:val="009D6240"/>
    <w:rsid w:val="009D64CE"/>
    <w:rsid w:val="009D6703"/>
    <w:rsid w:val="009D6EED"/>
    <w:rsid w:val="009E0367"/>
    <w:rsid w:val="009E4C8F"/>
    <w:rsid w:val="009E594E"/>
    <w:rsid w:val="009E5BE8"/>
    <w:rsid w:val="009E5CF3"/>
    <w:rsid w:val="009E7F34"/>
    <w:rsid w:val="009F1A6A"/>
    <w:rsid w:val="009F251B"/>
    <w:rsid w:val="009F3C4A"/>
    <w:rsid w:val="009F4318"/>
    <w:rsid w:val="009F535C"/>
    <w:rsid w:val="009F6659"/>
    <w:rsid w:val="009F6867"/>
    <w:rsid w:val="009F69B9"/>
    <w:rsid w:val="00A002C1"/>
    <w:rsid w:val="00A00543"/>
    <w:rsid w:val="00A00EF7"/>
    <w:rsid w:val="00A012F8"/>
    <w:rsid w:val="00A016F5"/>
    <w:rsid w:val="00A04F98"/>
    <w:rsid w:val="00A05894"/>
    <w:rsid w:val="00A058D8"/>
    <w:rsid w:val="00A05B43"/>
    <w:rsid w:val="00A05BFF"/>
    <w:rsid w:val="00A06B9B"/>
    <w:rsid w:val="00A076AF"/>
    <w:rsid w:val="00A0784C"/>
    <w:rsid w:val="00A10D87"/>
    <w:rsid w:val="00A11C75"/>
    <w:rsid w:val="00A124C5"/>
    <w:rsid w:val="00A12519"/>
    <w:rsid w:val="00A13E0F"/>
    <w:rsid w:val="00A14474"/>
    <w:rsid w:val="00A1575C"/>
    <w:rsid w:val="00A15C7C"/>
    <w:rsid w:val="00A17075"/>
    <w:rsid w:val="00A20C75"/>
    <w:rsid w:val="00A20F21"/>
    <w:rsid w:val="00A22807"/>
    <w:rsid w:val="00A22CF2"/>
    <w:rsid w:val="00A23435"/>
    <w:rsid w:val="00A24159"/>
    <w:rsid w:val="00A24416"/>
    <w:rsid w:val="00A25316"/>
    <w:rsid w:val="00A25839"/>
    <w:rsid w:val="00A25A05"/>
    <w:rsid w:val="00A264E9"/>
    <w:rsid w:val="00A26780"/>
    <w:rsid w:val="00A26CF0"/>
    <w:rsid w:val="00A3013C"/>
    <w:rsid w:val="00A317A8"/>
    <w:rsid w:val="00A31EA4"/>
    <w:rsid w:val="00A33E39"/>
    <w:rsid w:val="00A34269"/>
    <w:rsid w:val="00A357F5"/>
    <w:rsid w:val="00A36283"/>
    <w:rsid w:val="00A40559"/>
    <w:rsid w:val="00A4058B"/>
    <w:rsid w:val="00A42589"/>
    <w:rsid w:val="00A4317A"/>
    <w:rsid w:val="00A44973"/>
    <w:rsid w:val="00A44B07"/>
    <w:rsid w:val="00A4540E"/>
    <w:rsid w:val="00A460FF"/>
    <w:rsid w:val="00A501BB"/>
    <w:rsid w:val="00A506B2"/>
    <w:rsid w:val="00A51002"/>
    <w:rsid w:val="00A5112F"/>
    <w:rsid w:val="00A52823"/>
    <w:rsid w:val="00A52ADC"/>
    <w:rsid w:val="00A536B6"/>
    <w:rsid w:val="00A536B7"/>
    <w:rsid w:val="00A53D07"/>
    <w:rsid w:val="00A5404E"/>
    <w:rsid w:val="00A54791"/>
    <w:rsid w:val="00A5506F"/>
    <w:rsid w:val="00A554C0"/>
    <w:rsid w:val="00A57397"/>
    <w:rsid w:val="00A57645"/>
    <w:rsid w:val="00A606C5"/>
    <w:rsid w:val="00A61099"/>
    <w:rsid w:val="00A624E9"/>
    <w:rsid w:val="00A629ED"/>
    <w:rsid w:val="00A63188"/>
    <w:rsid w:val="00A63BE2"/>
    <w:rsid w:val="00A63C0B"/>
    <w:rsid w:val="00A63D66"/>
    <w:rsid w:val="00A64D6C"/>
    <w:rsid w:val="00A64F3F"/>
    <w:rsid w:val="00A65E98"/>
    <w:rsid w:val="00A66D95"/>
    <w:rsid w:val="00A71D68"/>
    <w:rsid w:val="00A7200A"/>
    <w:rsid w:val="00A723A1"/>
    <w:rsid w:val="00A741D7"/>
    <w:rsid w:val="00A75418"/>
    <w:rsid w:val="00A76CBE"/>
    <w:rsid w:val="00A77212"/>
    <w:rsid w:val="00A8001F"/>
    <w:rsid w:val="00A808F1"/>
    <w:rsid w:val="00A847B4"/>
    <w:rsid w:val="00A850E2"/>
    <w:rsid w:val="00A855B7"/>
    <w:rsid w:val="00A85ED2"/>
    <w:rsid w:val="00A8739A"/>
    <w:rsid w:val="00A90181"/>
    <w:rsid w:val="00A90A64"/>
    <w:rsid w:val="00A93A0F"/>
    <w:rsid w:val="00A940B2"/>
    <w:rsid w:val="00A94F86"/>
    <w:rsid w:val="00AA04FF"/>
    <w:rsid w:val="00AA05F5"/>
    <w:rsid w:val="00AA20B6"/>
    <w:rsid w:val="00AA2323"/>
    <w:rsid w:val="00AA28EC"/>
    <w:rsid w:val="00AA3C80"/>
    <w:rsid w:val="00AA4617"/>
    <w:rsid w:val="00AA47E1"/>
    <w:rsid w:val="00AB0371"/>
    <w:rsid w:val="00AB0A46"/>
    <w:rsid w:val="00AB0EA5"/>
    <w:rsid w:val="00AB19F0"/>
    <w:rsid w:val="00AB25E0"/>
    <w:rsid w:val="00AB4047"/>
    <w:rsid w:val="00AB445F"/>
    <w:rsid w:val="00AB6E45"/>
    <w:rsid w:val="00AC02B1"/>
    <w:rsid w:val="00AC1765"/>
    <w:rsid w:val="00AC418C"/>
    <w:rsid w:val="00AC41BC"/>
    <w:rsid w:val="00AC4A90"/>
    <w:rsid w:val="00AC7331"/>
    <w:rsid w:val="00AC7618"/>
    <w:rsid w:val="00AD0239"/>
    <w:rsid w:val="00AD0417"/>
    <w:rsid w:val="00AD1509"/>
    <w:rsid w:val="00AD2EBA"/>
    <w:rsid w:val="00AD55BA"/>
    <w:rsid w:val="00AD7C39"/>
    <w:rsid w:val="00AD7FFE"/>
    <w:rsid w:val="00AE047F"/>
    <w:rsid w:val="00AE06D6"/>
    <w:rsid w:val="00AE12AB"/>
    <w:rsid w:val="00AE1629"/>
    <w:rsid w:val="00AE3C0F"/>
    <w:rsid w:val="00AE5C2B"/>
    <w:rsid w:val="00AE6FE9"/>
    <w:rsid w:val="00AF03E3"/>
    <w:rsid w:val="00AF07AD"/>
    <w:rsid w:val="00AF0A9F"/>
    <w:rsid w:val="00AF0D0C"/>
    <w:rsid w:val="00AF1206"/>
    <w:rsid w:val="00AF1964"/>
    <w:rsid w:val="00AF1DD1"/>
    <w:rsid w:val="00AF2BD2"/>
    <w:rsid w:val="00AF31FA"/>
    <w:rsid w:val="00AF361F"/>
    <w:rsid w:val="00AF4A19"/>
    <w:rsid w:val="00AF57D4"/>
    <w:rsid w:val="00AF70B6"/>
    <w:rsid w:val="00B009A1"/>
    <w:rsid w:val="00B00F28"/>
    <w:rsid w:val="00B014F1"/>
    <w:rsid w:val="00B01CB0"/>
    <w:rsid w:val="00B03C80"/>
    <w:rsid w:val="00B04084"/>
    <w:rsid w:val="00B0559D"/>
    <w:rsid w:val="00B05608"/>
    <w:rsid w:val="00B05EBA"/>
    <w:rsid w:val="00B100BF"/>
    <w:rsid w:val="00B101D1"/>
    <w:rsid w:val="00B110C6"/>
    <w:rsid w:val="00B114D3"/>
    <w:rsid w:val="00B12398"/>
    <w:rsid w:val="00B12854"/>
    <w:rsid w:val="00B12911"/>
    <w:rsid w:val="00B13015"/>
    <w:rsid w:val="00B132C6"/>
    <w:rsid w:val="00B1361C"/>
    <w:rsid w:val="00B14DFA"/>
    <w:rsid w:val="00B1734C"/>
    <w:rsid w:val="00B178B9"/>
    <w:rsid w:val="00B225A8"/>
    <w:rsid w:val="00B236F0"/>
    <w:rsid w:val="00B24509"/>
    <w:rsid w:val="00B2477C"/>
    <w:rsid w:val="00B24DF4"/>
    <w:rsid w:val="00B263F9"/>
    <w:rsid w:val="00B27B66"/>
    <w:rsid w:val="00B30394"/>
    <w:rsid w:val="00B31DCA"/>
    <w:rsid w:val="00B32EF3"/>
    <w:rsid w:val="00B35197"/>
    <w:rsid w:val="00B35362"/>
    <w:rsid w:val="00B357FE"/>
    <w:rsid w:val="00B363CD"/>
    <w:rsid w:val="00B42D14"/>
    <w:rsid w:val="00B437F2"/>
    <w:rsid w:val="00B43EAF"/>
    <w:rsid w:val="00B44ACC"/>
    <w:rsid w:val="00B50CF0"/>
    <w:rsid w:val="00B524AC"/>
    <w:rsid w:val="00B535B0"/>
    <w:rsid w:val="00B53E05"/>
    <w:rsid w:val="00B5573E"/>
    <w:rsid w:val="00B55BD6"/>
    <w:rsid w:val="00B55CA4"/>
    <w:rsid w:val="00B55D64"/>
    <w:rsid w:val="00B563AF"/>
    <w:rsid w:val="00B5721C"/>
    <w:rsid w:val="00B6003D"/>
    <w:rsid w:val="00B600E6"/>
    <w:rsid w:val="00B6287D"/>
    <w:rsid w:val="00B628A3"/>
    <w:rsid w:val="00B632BB"/>
    <w:rsid w:val="00B64F3B"/>
    <w:rsid w:val="00B66A97"/>
    <w:rsid w:val="00B66B3B"/>
    <w:rsid w:val="00B70590"/>
    <w:rsid w:val="00B712E9"/>
    <w:rsid w:val="00B71A1D"/>
    <w:rsid w:val="00B71EB5"/>
    <w:rsid w:val="00B729C3"/>
    <w:rsid w:val="00B73829"/>
    <w:rsid w:val="00B7557C"/>
    <w:rsid w:val="00B75DF2"/>
    <w:rsid w:val="00B75F68"/>
    <w:rsid w:val="00B765FC"/>
    <w:rsid w:val="00B76A8D"/>
    <w:rsid w:val="00B77319"/>
    <w:rsid w:val="00B777F7"/>
    <w:rsid w:val="00B80816"/>
    <w:rsid w:val="00B8148E"/>
    <w:rsid w:val="00B83478"/>
    <w:rsid w:val="00B84C28"/>
    <w:rsid w:val="00B85541"/>
    <w:rsid w:val="00B85632"/>
    <w:rsid w:val="00B8613E"/>
    <w:rsid w:val="00B867A0"/>
    <w:rsid w:val="00B915D4"/>
    <w:rsid w:val="00B92291"/>
    <w:rsid w:val="00B94635"/>
    <w:rsid w:val="00B94852"/>
    <w:rsid w:val="00B97EBF"/>
    <w:rsid w:val="00BA2BCF"/>
    <w:rsid w:val="00BA2D46"/>
    <w:rsid w:val="00BA3A6F"/>
    <w:rsid w:val="00BA596B"/>
    <w:rsid w:val="00BA7ABC"/>
    <w:rsid w:val="00BB0D93"/>
    <w:rsid w:val="00BB0F5A"/>
    <w:rsid w:val="00BB121C"/>
    <w:rsid w:val="00BB1B9A"/>
    <w:rsid w:val="00BB282A"/>
    <w:rsid w:val="00BB3111"/>
    <w:rsid w:val="00BB356C"/>
    <w:rsid w:val="00BB36AF"/>
    <w:rsid w:val="00BB4A22"/>
    <w:rsid w:val="00BB546C"/>
    <w:rsid w:val="00BB56CA"/>
    <w:rsid w:val="00BB631C"/>
    <w:rsid w:val="00BB73F0"/>
    <w:rsid w:val="00BB795A"/>
    <w:rsid w:val="00BC1417"/>
    <w:rsid w:val="00BC1D0E"/>
    <w:rsid w:val="00BC2303"/>
    <w:rsid w:val="00BC2712"/>
    <w:rsid w:val="00BC2C07"/>
    <w:rsid w:val="00BC3E8C"/>
    <w:rsid w:val="00BC4764"/>
    <w:rsid w:val="00BC563E"/>
    <w:rsid w:val="00BC6412"/>
    <w:rsid w:val="00BD2ACA"/>
    <w:rsid w:val="00BD2F3B"/>
    <w:rsid w:val="00BD4001"/>
    <w:rsid w:val="00BD40D6"/>
    <w:rsid w:val="00BD5EF9"/>
    <w:rsid w:val="00BD666D"/>
    <w:rsid w:val="00BD6CBF"/>
    <w:rsid w:val="00BD6E81"/>
    <w:rsid w:val="00BD6FCD"/>
    <w:rsid w:val="00BE6914"/>
    <w:rsid w:val="00BE6A51"/>
    <w:rsid w:val="00BE6D0E"/>
    <w:rsid w:val="00BE6D43"/>
    <w:rsid w:val="00BE7020"/>
    <w:rsid w:val="00BF0933"/>
    <w:rsid w:val="00BF0C54"/>
    <w:rsid w:val="00BF1A79"/>
    <w:rsid w:val="00BF1E26"/>
    <w:rsid w:val="00BF2C0A"/>
    <w:rsid w:val="00BF37DC"/>
    <w:rsid w:val="00BF631B"/>
    <w:rsid w:val="00BF6C80"/>
    <w:rsid w:val="00BF7A4B"/>
    <w:rsid w:val="00C00101"/>
    <w:rsid w:val="00C008F5"/>
    <w:rsid w:val="00C03AD3"/>
    <w:rsid w:val="00C05230"/>
    <w:rsid w:val="00C05571"/>
    <w:rsid w:val="00C05A63"/>
    <w:rsid w:val="00C101E0"/>
    <w:rsid w:val="00C10C1A"/>
    <w:rsid w:val="00C10D12"/>
    <w:rsid w:val="00C12479"/>
    <w:rsid w:val="00C12A5B"/>
    <w:rsid w:val="00C1317F"/>
    <w:rsid w:val="00C14331"/>
    <w:rsid w:val="00C16D8D"/>
    <w:rsid w:val="00C20884"/>
    <w:rsid w:val="00C214AA"/>
    <w:rsid w:val="00C22321"/>
    <w:rsid w:val="00C22B4F"/>
    <w:rsid w:val="00C2314C"/>
    <w:rsid w:val="00C2345E"/>
    <w:rsid w:val="00C2346E"/>
    <w:rsid w:val="00C24979"/>
    <w:rsid w:val="00C25E43"/>
    <w:rsid w:val="00C26152"/>
    <w:rsid w:val="00C264CA"/>
    <w:rsid w:val="00C26610"/>
    <w:rsid w:val="00C27F02"/>
    <w:rsid w:val="00C31B70"/>
    <w:rsid w:val="00C34ACF"/>
    <w:rsid w:val="00C34DA0"/>
    <w:rsid w:val="00C360F1"/>
    <w:rsid w:val="00C36505"/>
    <w:rsid w:val="00C36961"/>
    <w:rsid w:val="00C36D2C"/>
    <w:rsid w:val="00C421B2"/>
    <w:rsid w:val="00C42854"/>
    <w:rsid w:val="00C42CD3"/>
    <w:rsid w:val="00C4326E"/>
    <w:rsid w:val="00C436DA"/>
    <w:rsid w:val="00C452A8"/>
    <w:rsid w:val="00C45583"/>
    <w:rsid w:val="00C46B1E"/>
    <w:rsid w:val="00C50A3A"/>
    <w:rsid w:val="00C51686"/>
    <w:rsid w:val="00C51903"/>
    <w:rsid w:val="00C52B43"/>
    <w:rsid w:val="00C5372E"/>
    <w:rsid w:val="00C53D38"/>
    <w:rsid w:val="00C54E2F"/>
    <w:rsid w:val="00C55048"/>
    <w:rsid w:val="00C55C48"/>
    <w:rsid w:val="00C57834"/>
    <w:rsid w:val="00C57B5D"/>
    <w:rsid w:val="00C61AA8"/>
    <w:rsid w:val="00C628B8"/>
    <w:rsid w:val="00C6295C"/>
    <w:rsid w:val="00C640AE"/>
    <w:rsid w:val="00C65CBA"/>
    <w:rsid w:val="00C65D78"/>
    <w:rsid w:val="00C663BB"/>
    <w:rsid w:val="00C66CE0"/>
    <w:rsid w:val="00C67C22"/>
    <w:rsid w:val="00C71030"/>
    <w:rsid w:val="00C71CCE"/>
    <w:rsid w:val="00C731F0"/>
    <w:rsid w:val="00C73DD3"/>
    <w:rsid w:val="00C74AFC"/>
    <w:rsid w:val="00C75D86"/>
    <w:rsid w:val="00C763A4"/>
    <w:rsid w:val="00C76944"/>
    <w:rsid w:val="00C76DF6"/>
    <w:rsid w:val="00C776A5"/>
    <w:rsid w:val="00C80B0C"/>
    <w:rsid w:val="00C81282"/>
    <w:rsid w:val="00C818DB"/>
    <w:rsid w:val="00C819C7"/>
    <w:rsid w:val="00C828E6"/>
    <w:rsid w:val="00C84677"/>
    <w:rsid w:val="00C917A7"/>
    <w:rsid w:val="00C91847"/>
    <w:rsid w:val="00C91BBC"/>
    <w:rsid w:val="00C921E7"/>
    <w:rsid w:val="00C93297"/>
    <w:rsid w:val="00C93A94"/>
    <w:rsid w:val="00C94649"/>
    <w:rsid w:val="00C96D93"/>
    <w:rsid w:val="00C974F9"/>
    <w:rsid w:val="00C97B6E"/>
    <w:rsid w:val="00C97DE1"/>
    <w:rsid w:val="00CA03A6"/>
    <w:rsid w:val="00CA1540"/>
    <w:rsid w:val="00CA204F"/>
    <w:rsid w:val="00CA2A97"/>
    <w:rsid w:val="00CA3DF9"/>
    <w:rsid w:val="00CA41F6"/>
    <w:rsid w:val="00CA4C38"/>
    <w:rsid w:val="00CA60CF"/>
    <w:rsid w:val="00CA7573"/>
    <w:rsid w:val="00CA7B3A"/>
    <w:rsid w:val="00CB05BA"/>
    <w:rsid w:val="00CB0C79"/>
    <w:rsid w:val="00CB121A"/>
    <w:rsid w:val="00CB2F0F"/>
    <w:rsid w:val="00CB2F2E"/>
    <w:rsid w:val="00CB36A7"/>
    <w:rsid w:val="00CB4442"/>
    <w:rsid w:val="00CB516D"/>
    <w:rsid w:val="00CB5893"/>
    <w:rsid w:val="00CB58A0"/>
    <w:rsid w:val="00CB60DE"/>
    <w:rsid w:val="00CB643E"/>
    <w:rsid w:val="00CB6C66"/>
    <w:rsid w:val="00CB7E2A"/>
    <w:rsid w:val="00CB7F30"/>
    <w:rsid w:val="00CC2EF8"/>
    <w:rsid w:val="00CC315A"/>
    <w:rsid w:val="00CC3C1A"/>
    <w:rsid w:val="00CC4CFD"/>
    <w:rsid w:val="00CC574F"/>
    <w:rsid w:val="00CC5C33"/>
    <w:rsid w:val="00CC75D7"/>
    <w:rsid w:val="00CC7D75"/>
    <w:rsid w:val="00CD1421"/>
    <w:rsid w:val="00CD61E7"/>
    <w:rsid w:val="00CD65B1"/>
    <w:rsid w:val="00CD7DD1"/>
    <w:rsid w:val="00CE19E6"/>
    <w:rsid w:val="00CE5DC9"/>
    <w:rsid w:val="00CE5E07"/>
    <w:rsid w:val="00CE5EE8"/>
    <w:rsid w:val="00CE5F3E"/>
    <w:rsid w:val="00CF16EA"/>
    <w:rsid w:val="00CF1EA4"/>
    <w:rsid w:val="00CF1F72"/>
    <w:rsid w:val="00CF2395"/>
    <w:rsid w:val="00CF4E79"/>
    <w:rsid w:val="00CF52D3"/>
    <w:rsid w:val="00CF5EE2"/>
    <w:rsid w:val="00CF61C3"/>
    <w:rsid w:val="00CF69E1"/>
    <w:rsid w:val="00CF6B5C"/>
    <w:rsid w:val="00D00C65"/>
    <w:rsid w:val="00D019C6"/>
    <w:rsid w:val="00D01E7A"/>
    <w:rsid w:val="00D02558"/>
    <w:rsid w:val="00D04528"/>
    <w:rsid w:val="00D064FE"/>
    <w:rsid w:val="00D1160E"/>
    <w:rsid w:val="00D1175A"/>
    <w:rsid w:val="00D11C28"/>
    <w:rsid w:val="00D11EA9"/>
    <w:rsid w:val="00D12022"/>
    <w:rsid w:val="00D1212D"/>
    <w:rsid w:val="00D1497E"/>
    <w:rsid w:val="00D22A1C"/>
    <w:rsid w:val="00D22ED2"/>
    <w:rsid w:val="00D23635"/>
    <w:rsid w:val="00D23AFA"/>
    <w:rsid w:val="00D2644B"/>
    <w:rsid w:val="00D2651C"/>
    <w:rsid w:val="00D26926"/>
    <w:rsid w:val="00D27252"/>
    <w:rsid w:val="00D308CA"/>
    <w:rsid w:val="00D335B1"/>
    <w:rsid w:val="00D364B3"/>
    <w:rsid w:val="00D37142"/>
    <w:rsid w:val="00D374F7"/>
    <w:rsid w:val="00D40461"/>
    <w:rsid w:val="00D406E3"/>
    <w:rsid w:val="00D40E26"/>
    <w:rsid w:val="00D41477"/>
    <w:rsid w:val="00D41FD9"/>
    <w:rsid w:val="00D4202F"/>
    <w:rsid w:val="00D4385E"/>
    <w:rsid w:val="00D43FF4"/>
    <w:rsid w:val="00D44CD7"/>
    <w:rsid w:val="00D46F6E"/>
    <w:rsid w:val="00D4731E"/>
    <w:rsid w:val="00D511E6"/>
    <w:rsid w:val="00D5173B"/>
    <w:rsid w:val="00D5230D"/>
    <w:rsid w:val="00D529F1"/>
    <w:rsid w:val="00D52ECA"/>
    <w:rsid w:val="00D55B72"/>
    <w:rsid w:val="00D56863"/>
    <w:rsid w:val="00D57EA1"/>
    <w:rsid w:val="00D57F14"/>
    <w:rsid w:val="00D60E2D"/>
    <w:rsid w:val="00D61197"/>
    <w:rsid w:val="00D61A83"/>
    <w:rsid w:val="00D647DF"/>
    <w:rsid w:val="00D67358"/>
    <w:rsid w:val="00D677EB"/>
    <w:rsid w:val="00D67B63"/>
    <w:rsid w:val="00D67BAA"/>
    <w:rsid w:val="00D705E4"/>
    <w:rsid w:val="00D71425"/>
    <w:rsid w:val="00D71ACD"/>
    <w:rsid w:val="00D7246F"/>
    <w:rsid w:val="00D736B3"/>
    <w:rsid w:val="00D74C11"/>
    <w:rsid w:val="00D74D9A"/>
    <w:rsid w:val="00D75F23"/>
    <w:rsid w:val="00D80410"/>
    <w:rsid w:val="00D81734"/>
    <w:rsid w:val="00D81EB0"/>
    <w:rsid w:val="00D824C5"/>
    <w:rsid w:val="00D82737"/>
    <w:rsid w:val="00D8336B"/>
    <w:rsid w:val="00D84F6B"/>
    <w:rsid w:val="00D856C8"/>
    <w:rsid w:val="00D86BA8"/>
    <w:rsid w:val="00D873E0"/>
    <w:rsid w:val="00D878F4"/>
    <w:rsid w:val="00D87952"/>
    <w:rsid w:val="00D90091"/>
    <w:rsid w:val="00D90CBF"/>
    <w:rsid w:val="00D91809"/>
    <w:rsid w:val="00D91B6E"/>
    <w:rsid w:val="00D91BB2"/>
    <w:rsid w:val="00D92DAE"/>
    <w:rsid w:val="00D95B3A"/>
    <w:rsid w:val="00D96C46"/>
    <w:rsid w:val="00D96F67"/>
    <w:rsid w:val="00D97021"/>
    <w:rsid w:val="00D9716E"/>
    <w:rsid w:val="00D973A2"/>
    <w:rsid w:val="00D97C65"/>
    <w:rsid w:val="00D97FEC"/>
    <w:rsid w:val="00DA07C5"/>
    <w:rsid w:val="00DA0DF5"/>
    <w:rsid w:val="00DA11B7"/>
    <w:rsid w:val="00DA31E6"/>
    <w:rsid w:val="00DA3396"/>
    <w:rsid w:val="00DA38C0"/>
    <w:rsid w:val="00DA4221"/>
    <w:rsid w:val="00DA50DB"/>
    <w:rsid w:val="00DA57C9"/>
    <w:rsid w:val="00DA5FD4"/>
    <w:rsid w:val="00DA61D1"/>
    <w:rsid w:val="00DA687D"/>
    <w:rsid w:val="00DA6B75"/>
    <w:rsid w:val="00DA7218"/>
    <w:rsid w:val="00DB0141"/>
    <w:rsid w:val="00DB1961"/>
    <w:rsid w:val="00DB2239"/>
    <w:rsid w:val="00DB25F6"/>
    <w:rsid w:val="00DB2F66"/>
    <w:rsid w:val="00DB3350"/>
    <w:rsid w:val="00DB4345"/>
    <w:rsid w:val="00DB4A90"/>
    <w:rsid w:val="00DB53B8"/>
    <w:rsid w:val="00DB6B3B"/>
    <w:rsid w:val="00DC1996"/>
    <w:rsid w:val="00DC3054"/>
    <w:rsid w:val="00DC4661"/>
    <w:rsid w:val="00DC4FC8"/>
    <w:rsid w:val="00DC54D7"/>
    <w:rsid w:val="00DC7EEA"/>
    <w:rsid w:val="00DD1200"/>
    <w:rsid w:val="00DD20E5"/>
    <w:rsid w:val="00DD2B54"/>
    <w:rsid w:val="00DD2D09"/>
    <w:rsid w:val="00DD3C2B"/>
    <w:rsid w:val="00DD5169"/>
    <w:rsid w:val="00DD5529"/>
    <w:rsid w:val="00DE02AA"/>
    <w:rsid w:val="00DE0815"/>
    <w:rsid w:val="00DE0CF9"/>
    <w:rsid w:val="00DE0D1C"/>
    <w:rsid w:val="00DE3AE4"/>
    <w:rsid w:val="00DE4333"/>
    <w:rsid w:val="00DE5793"/>
    <w:rsid w:val="00DE583B"/>
    <w:rsid w:val="00DE5B5A"/>
    <w:rsid w:val="00DE6CE1"/>
    <w:rsid w:val="00DE73F1"/>
    <w:rsid w:val="00DE7B70"/>
    <w:rsid w:val="00DF0917"/>
    <w:rsid w:val="00DF0B6C"/>
    <w:rsid w:val="00DF3304"/>
    <w:rsid w:val="00DF434D"/>
    <w:rsid w:val="00DF4911"/>
    <w:rsid w:val="00DF4C2C"/>
    <w:rsid w:val="00DF5038"/>
    <w:rsid w:val="00E01395"/>
    <w:rsid w:val="00E028F3"/>
    <w:rsid w:val="00E02D08"/>
    <w:rsid w:val="00E04641"/>
    <w:rsid w:val="00E07161"/>
    <w:rsid w:val="00E07399"/>
    <w:rsid w:val="00E11754"/>
    <w:rsid w:val="00E11773"/>
    <w:rsid w:val="00E16215"/>
    <w:rsid w:val="00E16A70"/>
    <w:rsid w:val="00E20166"/>
    <w:rsid w:val="00E2150D"/>
    <w:rsid w:val="00E252EF"/>
    <w:rsid w:val="00E27250"/>
    <w:rsid w:val="00E322EE"/>
    <w:rsid w:val="00E33625"/>
    <w:rsid w:val="00E33FE1"/>
    <w:rsid w:val="00E34E34"/>
    <w:rsid w:val="00E35A6E"/>
    <w:rsid w:val="00E37187"/>
    <w:rsid w:val="00E374FF"/>
    <w:rsid w:val="00E37A9A"/>
    <w:rsid w:val="00E406C4"/>
    <w:rsid w:val="00E42683"/>
    <w:rsid w:val="00E434A6"/>
    <w:rsid w:val="00E4373F"/>
    <w:rsid w:val="00E46EA3"/>
    <w:rsid w:val="00E5131A"/>
    <w:rsid w:val="00E5176E"/>
    <w:rsid w:val="00E51BCD"/>
    <w:rsid w:val="00E526D0"/>
    <w:rsid w:val="00E540DE"/>
    <w:rsid w:val="00E54404"/>
    <w:rsid w:val="00E57D28"/>
    <w:rsid w:val="00E60138"/>
    <w:rsid w:val="00E612FE"/>
    <w:rsid w:val="00E6200E"/>
    <w:rsid w:val="00E6204A"/>
    <w:rsid w:val="00E62278"/>
    <w:rsid w:val="00E629A1"/>
    <w:rsid w:val="00E62AAA"/>
    <w:rsid w:val="00E62B87"/>
    <w:rsid w:val="00E636F1"/>
    <w:rsid w:val="00E639AF"/>
    <w:rsid w:val="00E64B90"/>
    <w:rsid w:val="00E65700"/>
    <w:rsid w:val="00E678FA"/>
    <w:rsid w:val="00E71FBC"/>
    <w:rsid w:val="00E724AE"/>
    <w:rsid w:val="00E7358D"/>
    <w:rsid w:val="00E74069"/>
    <w:rsid w:val="00E74CE6"/>
    <w:rsid w:val="00E77C1D"/>
    <w:rsid w:val="00E8015B"/>
    <w:rsid w:val="00E832AA"/>
    <w:rsid w:val="00E841C1"/>
    <w:rsid w:val="00E87A4B"/>
    <w:rsid w:val="00E90994"/>
    <w:rsid w:val="00E91266"/>
    <w:rsid w:val="00E91E6A"/>
    <w:rsid w:val="00E93973"/>
    <w:rsid w:val="00E94135"/>
    <w:rsid w:val="00E968D1"/>
    <w:rsid w:val="00EA03D0"/>
    <w:rsid w:val="00EA13E1"/>
    <w:rsid w:val="00EA36AE"/>
    <w:rsid w:val="00EA55EF"/>
    <w:rsid w:val="00EA6B49"/>
    <w:rsid w:val="00EB1C1B"/>
    <w:rsid w:val="00EB1D5C"/>
    <w:rsid w:val="00EB2DA8"/>
    <w:rsid w:val="00EB3F22"/>
    <w:rsid w:val="00EB6B7E"/>
    <w:rsid w:val="00EB6FE3"/>
    <w:rsid w:val="00EC025A"/>
    <w:rsid w:val="00EC1231"/>
    <w:rsid w:val="00EC2669"/>
    <w:rsid w:val="00EC32C4"/>
    <w:rsid w:val="00EC3C16"/>
    <w:rsid w:val="00EC3EC8"/>
    <w:rsid w:val="00EC5E25"/>
    <w:rsid w:val="00EC7A0B"/>
    <w:rsid w:val="00ED0328"/>
    <w:rsid w:val="00ED0686"/>
    <w:rsid w:val="00ED08BB"/>
    <w:rsid w:val="00ED17D1"/>
    <w:rsid w:val="00ED3153"/>
    <w:rsid w:val="00ED3553"/>
    <w:rsid w:val="00ED3FF3"/>
    <w:rsid w:val="00ED44BC"/>
    <w:rsid w:val="00ED4CC8"/>
    <w:rsid w:val="00ED5C62"/>
    <w:rsid w:val="00ED5F69"/>
    <w:rsid w:val="00EE0665"/>
    <w:rsid w:val="00EE2D94"/>
    <w:rsid w:val="00EE3537"/>
    <w:rsid w:val="00EE3E84"/>
    <w:rsid w:val="00EE4524"/>
    <w:rsid w:val="00EE473E"/>
    <w:rsid w:val="00EE78B3"/>
    <w:rsid w:val="00EE79A3"/>
    <w:rsid w:val="00EF0017"/>
    <w:rsid w:val="00EF024D"/>
    <w:rsid w:val="00EF0633"/>
    <w:rsid w:val="00EF20FB"/>
    <w:rsid w:val="00EF25CC"/>
    <w:rsid w:val="00EF580C"/>
    <w:rsid w:val="00EF6417"/>
    <w:rsid w:val="00EF7521"/>
    <w:rsid w:val="00F023B3"/>
    <w:rsid w:val="00F02532"/>
    <w:rsid w:val="00F026C9"/>
    <w:rsid w:val="00F02BB8"/>
    <w:rsid w:val="00F032D4"/>
    <w:rsid w:val="00F06745"/>
    <w:rsid w:val="00F07015"/>
    <w:rsid w:val="00F072C1"/>
    <w:rsid w:val="00F07B9F"/>
    <w:rsid w:val="00F07DB6"/>
    <w:rsid w:val="00F07E87"/>
    <w:rsid w:val="00F101C7"/>
    <w:rsid w:val="00F10322"/>
    <w:rsid w:val="00F11CDA"/>
    <w:rsid w:val="00F12215"/>
    <w:rsid w:val="00F13000"/>
    <w:rsid w:val="00F14BB1"/>
    <w:rsid w:val="00F1565A"/>
    <w:rsid w:val="00F16F67"/>
    <w:rsid w:val="00F20CBE"/>
    <w:rsid w:val="00F2144F"/>
    <w:rsid w:val="00F22044"/>
    <w:rsid w:val="00F223D0"/>
    <w:rsid w:val="00F23230"/>
    <w:rsid w:val="00F23966"/>
    <w:rsid w:val="00F23D40"/>
    <w:rsid w:val="00F25775"/>
    <w:rsid w:val="00F25840"/>
    <w:rsid w:val="00F25A50"/>
    <w:rsid w:val="00F25C4A"/>
    <w:rsid w:val="00F2679B"/>
    <w:rsid w:val="00F26CD6"/>
    <w:rsid w:val="00F27638"/>
    <w:rsid w:val="00F279E8"/>
    <w:rsid w:val="00F3358F"/>
    <w:rsid w:val="00F33C89"/>
    <w:rsid w:val="00F349AC"/>
    <w:rsid w:val="00F35594"/>
    <w:rsid w:val="00F3579E"/>
    <w:rsid w:val="00F3585C"/>
    <w:rsid w:val="00F36777"/>
    <w:rsid w:val="00F37E9B"/>
    <w:rsid w:val="00F40501"/>
    <w:rsid w:val="00F4127C"/>
    <w:rsid w:val="00F413B6"/>
    <w:rsid w:val="00F4188C"/>
    <w:rsid w:val="00F44084"/>
    <w:rsid w:val="00F45D1D"/>
    <w:rsid w:val="00F46DA9"/>
    <w:rsid w:val="00F47E25"/>
    <w:rsid w:val="00F5019A"/>
    <w:rsid w:val="00F50476"/>
    <w:rsid w:val="00F52799"/>
    <w:rsid w:val="00F53B14"/>
    <w:rsid w:val="00F53E98"/>
    <w:rsid w:val="00F54107"/>
    <w:rsid w:val="00F54EDB"/>
    <w:rsid w:val="00F56419"/>
    <w:rsid w:val="00F5688A"/>
    <w:rsid w:val="00F609B4"/>
    <w:rsid w:val="00F626FA"/>
    <w:rsid w:val="00F627BD"/>
    <w:rsid w:val="00F62A66"/>
    <w:rsid w:val="00F62C98"/>
    <w:rsid w:val="00F63C0D"/>
    <w:rsid w:val="00F65581"/>
    <w:rsid w:val="00F7017F"/>
    <w:rsid w:val="00F70C37"/>
    <w:rsid w:val="00F710BF"/>
    <w:rsid w:val="00F73F49"/>
    <w:rsid w:val="00F745F2"/>
    <w:rsid w:val="00F74E95"/>
    <w:rsid w:val="00F80CF5"/>
    <w:rsid w:val="00F80EE7"/>
    <w:rsid w:val="00F8160B"/>
    <w:rsid w:val="00F83724"/>
    <w:rsid w:val="00F839CB"/>
    <w:rsid w:val="00F83D58"/>
    <w:rsid w:val="00F85E06"/>
    <w:rsid w:val="00F860BD"/>
    <w:rsid w:val="00F90129"/>
    <w:rsid w:val="00F905ED"/>
    <w:rsid w:val="00F9081E"/>
    <w:rsid w:val="00F90A6B"/>
    <w:rsid w:val="00F91136"/>
    <w:rsid w:val="00F911CA"/>
    <w:rsid w:val="00F91842"/>
    <w:rsid w:val="00F92040"/>
    <w:rsid w:val="00F96DB3"/>
    <w:rsid w:val="00F96E68"/>
    <w:rsid w:val="00F97A82"/>
    <w:rsid w:val="00FA17B2"/>
    <w:rsid w:val="00FA2505"/>
    <w:rsid w:val="00FA2C46"/>
    <w:rsid w:val="00FA2E98"/>
    <w:rsid w:val="00FA2ED5"/>
    <w:rsid w:val="00FA43A2"/>
    <w:rsid w:val="00FA43EF"/>
    <w:rsid w:val="00FA44BA"/>
    <w:rsid w:val="00FA48BC"/>
    <w:rsid w:val="00FA4D81"/>
    <w:rsid w:val="00FA4F18"/>
    <w:rsid w:val="00FA673A"/>
    <w:rsid w:val="00FA715A"/>
    <w:rsid w:val="00FA746E"/>
    <w:rsid w:val="00FA77FF"/>
    <w:rsid w:val="00FA7E54"/>
    <w:rsid w:val="00FB0289"/>
    <w:rsid w:val="00FB035C"/>
    <w:rsid w:val="00FB2871"/>
    <w:rsid w:val="00FB39B2"/>
    <w:rsid w:val="00FB4225"/>
    <w:rsid w:val="00FB5930"/>
    <w:rsid w:val="00FB7835"/>
    <w:rsid w:val="00FC0486"/>
    <w:rsid w:val="00FC0624"/>
    <w:rsid w:val="00FC1573"/>
    <w:rsid w:val="00FC1FFF"/>
    <w:rsid w:val="00FC2E74"/>
    <w:rsid w:val="00FC44AD"/>
    <w:rsid w:val="00FC5402"/>
    <w:rsid w:val="00FC5D63"/>
    <w:rsid w:val="00FC5F50"/>
    <w:rsid w:val="00FC65C7"/>
    <w:rsid w:val="00FC7CE8"/>
    <w:rsid w:val="00FC7E30"/>
    <w:rsid w:val="00FD345D"/>
    <w:rsid w:val="00FD3CFD"/>
    <w:rsid w:val="00FD3D1D"/>
    <w:rsid w:val="00FD412C"/>
    <w:rsid w:val="00FD6A59"/>
    <w:rsid w:val="00FD7586"/>
    <w:rsid w:val="00FD78AC"/>
    <w:rsid w:val="00FD7DB0"/>
    <w:rsid w:val="00FE03AF"/>
    <w:rsid w:val="00FE098F"/>
    <w:rsid w:val="00FE16D9"/>
    <w:rsid w:val="00FE2494"/>
    <w:rsid w:val="00FE2861"/>
    <w:rsid w:val="00FE3250"/>
    <w:rsid w:val="00FE3AF1"/>
    <w:rsid w:val="00FE3D87"/>
    <w:rsid w:val="00FE5446"/>
    <w:rsid w:val="00FE5533"/>
    <w:rsid w:val="00FE5ADD"/>
    <w:rsid w:val="00FF03DA"/>
    <w:rsid w:val="00FF04B4"/>
    <w:rsid w:val="00FF09EA"/>
    <w:rsid w:val="00FF16D1"/>
    <w:rsid w:val="00FF223F"/>
    <w:rsid w:val="00FF2684"/>
    <w:rsid w:val="00FF39F0"/>
    <w:rsid w:val="00FF3BFA"/>
    <w:rsid w:val="00FF6166"/>
    <w:rsid w:val="00FF659A"/>
    <w:rsid w:val="00FF66D4"/>
    <w:rsid w:val="00FF780D"/>
    <w:rsid w:val="00FF7BA0"/>
    <w:rsid w:val="010B0A89"/>
    <w:rsid w:val="010D605E"/>
    <w:rsid w:val="010F2A41"/>
    <w:rsid w:val="010F3C7B"/>
    <w:rsid w:val="011C0383"/>
    <w:rsid w:val="012030A2"/>
    <w:rsid w:val="012E7EA6"/>
    <w:rsid w:val="013110BC"/>
    <w:rsid w:val="0166580C"/>
    <w:rsid w:val="01891066"/>
    <w:rsid w:val="018C0E2A"/>
    <w:rsid w:val="0193174E"/>
    <w:rsid w:val="01A15A7F"/>
    <w:rsid w:val="01AE54D4"/>
    <w:rsid w:val="01B432CB"/>
    <w:rsid w:val="01BC4ED3"/>
    <w:rsid w:val="01F54F3D"/>
    <w:rsid w:val="01FE16F2"/>
    <w:rsid w:val="020166A7"/>
    <w:rsid w:val="0202567E"/>
    <w:rsid w:val="020677F5"/>
    <w:rsid w:val="020715B6"/>
    <w:rsid w:val="020E74AB"/>
    <w:rsid w:val="021637F8"/>
    <w:rsid w:val="021D7FF2"/>
    <w:rsid w:val="02287E61"/>
    <w:rsid w:val="02293F81"/>
    <w:rsid w:val="02294DA2"/>
    <w:rsid w:val="024014EE"/>
    <w:rsid w:val="02626F0A"/>
    <w:rsid w:val="026A2729"/>
    <w:rsid w:val="02701DB0"/>
    <w:rsid w:val="02755AEE"/>
    <w:rsid w:val="02783406"/>
    <w:rsid w:val="027A377A"/>
    <w:rsid w:val="027B1B0D"/>
    <w:rsid w:val="027C1014"/>
    <w:rsid w:val="02835880"/>
    <w:rsid w:val="02841BB0"/>
    <w:rsid w:val="02844612"/>
    <w:rsid w:val="028759E9"/>
    <w:rsid w:val="02A8325C"/>
    <w:rsid w:val="02AC555F"/>
    <w:rsid w:val="02AE7592"/>
    <w:rsid w:val="02B44F70"/>
    <w:rsid w:val="02BE3F94"/>
    <w:rsid w:val="02CB3D59"/>
    <w:rsid w:val="02CB5388"/>
    <w:rsid w:val="02DE1788"/>
    <w:rsid w:val="02E2096A"/>
    <w:rsid w:val="02EC315D"/>
    <w:rsid w:val="02EE580A"/>
    <w:rsid w:val="02F27AC7"/>
    <w:rsid w:val="02F87C97"/>
    <w:rsid w:val="02FA157B"/>
    <w:rsid w:val="030332B7"/>
    <w:rsid w:val="030C5661"/>
    <w:rsid w:val="030E6467"/>
    <w:rsid w:val="03100B39"/>
    <w:rsid w:val="03181AC3"/>
    <w:rsid w:val="032525C5"/>
    <w:rsid w:val="0338327D"/>
    <w:rsid w:val="0340701A"/>
    <w:rsid w:val="03420311"/>
    <w:rsid w:val="034A595C"/>
    <w:rsid w:val="034B41BC"/>
    <w:rsid w:val="034B5A45"/>
    <w:rsid w:val="035D48AE"/>
    <w:rsid w:val="03760CEE"/>
    <w:rsid w:val="038E7F88"/>
    <w:rsid w:val="03AA6E03"/>
    <w:rsid w:val="03AB69E8"/>
    <w:rsid w:val="03B637C4"/>
    <w:rsid w:val="03C253A2"/>
    <w:rsid w:val="03DE6E75"/>
    <w:rsid w:val="03FC3356"/>
    <w:rsid w:val="041178EE"/>
    <w:rsid w:val="0418202D"/>
    <w:rsid w:val="041865EA"/>
    <w:rsid w:val="041F30F1"/>
    <w:rsid w:val="041F5DD7"/>
    <w:rsid w:val="042153D6"/>
    <w:rsid w:val="04216594"/>
    <w:rsid w:val="04347BEF"/>
    <w:rsid w:val="044111B4"/>
    <w:rsid w:val="04425665"/>
    <w:rsid w:val="044641E5"/>
    <w:rsid w:val="044A754F"/>
    <w:rsid w:val="044F1843"/>
    <w:rsid w:val="04563931"/>
    <w:rsid w:val="04614CC8"/>
    <w:rsid w:val="046C4463"/>
    <w:rsid w:val="04736855"/>
    <w:rsid w:val="047562A8"/>
    <w:rsid w:val="04784D74"/>
    <w:rsid w:val="0481140E"/>
    <w:rsid w:val="048818B4"/>
    <w:rsid w:val="048E3EE0"/>
    <w:rsid w:val="049457A2"/>
    <w:rsid w:val="04AB36F8"/>
    <w:rsid w:val="04B074C7"/>
    <w:rsid w:val="04B3766C"/>
    <w:rsid w:val="04C9063B"/>
    <w:rsid w:val="04D630FC"/>
    <w:rsid w:val="04D777F8"/>
    <w:rsid w:val="04DB0322"/>
    <w:rsid w:val="04DB4725"/>
    <w:rsid w:val="04ED50B3"/>
    <w:rsid w:val="050703F8"/>
    <w:rsid w:val="05110ED2"/>
    <w:rsid w:val="0511699A"/>
    <w:rsid w:val="051E4463"/>
    <w:rsid w:val="05305FDF"/>
    <w:rsid w:val="05510DFC"/>
    <w:rsid w:val="05516856"/>
    <w:rsid w:val="05576127"/>
    <w:rsid w:val="055A25D4"/>
    <w:rsid w:val="055E4FDC"/>
    <w:rsid w:val="05652A11"/>
    <w:rsid w:val="056917F4"/>
    <w:rsid w:val="05713C20"/>
    <w:rsid w:val="05747079"/>
    <w:rsid w:val="057B4819"/>
    <w:rsid w:val="057C3577"/>
    <w:rsid w:val="05911128"/>
    <w:rsid w:val="05B82CB5"/>
    <w:rsid w:val="05BE2D9A"/>
    <w:rsid w:val="05C247F7"/>
    <w:rsid w:val="05C75460"/>
    <w:rsid w:val="05D264FC"/>
    <w:rsid w:val="05D34628"/>
    <w:rsid w:val="05DC638C"/>
    <w:rsid w:val="05DD5F6A"/>
    <w:rsid w:val="05E4099E"/>
    <w:rsid w:val="05F92A0A"/>
    <w:rsid w:val="06056F1A"/>
    <w:rsid w:val="061307E4"/>
    <w:rsid w:val="06230948"/>
    <w:rsid w:val="06352177"/>
    <w:rsid w:val="0646122C"/>
    <w:rsid w:val="064D209E"/>
    <w:rsid w:val="06524737"/>
    <w:rsid w:val="0654078F"/>
    <w:rsid w:val="065B05F8"/>
    <w:rsid w:val="065D1110"/>
    <w:rsid w:val="066C5796"/>
    <w:rsid w:val="06804DF9"/>
    <w:rsid w:val="06831BE7"/>
    <w:rsid w:val="06874B29"/>
    <w:rsid w:val="068A01ED"/>
    <w:rsid w:val="068A063D"/>
    <w:rsid w:val="068D1BBD"/>
    <w:rsid w:val="06915870"/>
    <w:rsid w:val="06944B8D"/>
    <w:rsid w:val="069E436F"/>
    <w:rsid w:val="06A27B2E"/>
    <w:rsid w:val="06A67B2B"/>
    <w:rsid w:val="06B02446"/>
    <w:rsid w:val="06B23FD1"/>
    <w:rsid w:val="06B72A69"/>
    <w:rsid w:val="06DD1444"/>
    <w:rsid w:val="06E4296B"/>
    <w:rsid w:val="06E87EA2"/>
    <w:rsid w:val="06F316CA"/>
    <w:rsid w:val="06F57BB5"/>
    <w:rsid w:val="06FB38D5"/>
    <w:rsid w:val="06FC0A05"/>
    <w:rsid w:val="07041139"/>
    <w:rsid w:val="07073148"/>
    <w:rsid w:val="07141A51"/>
    <w:rsid w:val="071448CD"/>
    <w:rsid w:val="07283402"/>
    <w:rsid w:val="073D2A0A"/>
    <w:rsid w:val="07576BD8"/>
    <w:rsid w:val="075A6074"/>
    <w:rsid w:val="076259E2"/>
    <w:rsid w:val="0765328A"/>
    <w:rsid w:val="07907698"/>
    <w:rsid w:val="07990E46"/>
    <w:rsid w:val="079B4635"/>
    <w:rsid w:val="07AC4AB9"/>
    <w:rsid w:val="07B93921"/>
    <w:rsid w:val="07CD7B12"/>
    <w:rsid w:val="07D74AC3"/>
    <w:rsid w:val="07E86DF8"/>
    <w:rsid w:val="07EA6189"/>
    <w:rsid w:val="08060DC9"/>
    <w:rsid w:val="08085322"/>
    <w:rsid w:val="08086FFC"/>
    <w:rsid w:val="08136E18"/>
    <w:rsid w:val="082C27BE"/>
    <w:rsid w:val="083F4206"/>
    <w:rsid w:val="08490EA6"/>
    <w:rsid w:val="084B6E0D"/>
    <w:rsid w:val="0854503E"/>
    <w:rsid w:val="085D6660"/>
    <w:rsid w:val="08646382"/>
    <w:rsid w:val="08655A02"/>
    <w:rsid w:val="088A0C01"/>
    <w:rsid w:val="08902AD3"/>
    <w:rsid w:val="089917C6"/>
    <w:rsid w:val="08A93BA8"/>
    <w:rsid w:val="08B66476"/>
    <w:rsid w:val="08B90518"/>
    <w:rsid w:val="08B90A70"/>
    <w:rsid w:val="08BD0857"/>
    <w:rsid w:val="08C278F6"/>
    <w:rsid w:val="08C63C34"/>
    <w:rsid w:val="08CF6402"/>
    <w:rsid w:val="08D778D4"/>
    <w:rsid w:val="08D958C3"/>
    <w:rsid w:val="09014874"/>
    <w:rsid w:val="0902000B"/>
    <w:rsid w:val="09033EB8"/>
    <w:rsid w:val="09133E79"/>
    <w:rsid w:val="091E2208"/>
    <w:rsid w:val="092036E1"/>
    <w:rsid w:val="09237734"/>
    <w:rsid w:val="092662CF"/>
    <w:rsid w:val="092D7DFF"/>
    <w:rsid w:val="0937172B"/>
    <w:rsid w:val="09385E6E"/>
    <w:rsid w:val="094730D3"/>
    <w:rsid w:val="09594C92"/>
    <w:rsid w:val="09655B67"/>
    <w:rsid w:val="096640F9"/>
    <w:rsid w:val="09685975"/>
    <w:rsid w:val="096B6658"/>
    <w:rsid w:val="09731DA7"/>
    <w:rsid w:val="09795F16"/>
    <w:rsid w:val="097F67EE"/>
    <w:rsid w:val="09920DF5"/>
    <w:rsid w:val="099F13D5"/>
    <w:rsid w:val="09AB3F46"/>
    <w:rsid w:val="09BD3452"/>
    <w:rsid w:val="09C4429D"/>
    <w:rsid w:val="09CB29C6"/>
    <w:rsid w:val="09E40A3D"/>
    <w:rsid w:val="09E93ED2"/>
    <w:rsid w:val="09F07BA9"/>
    <w:rsid w:val="09F27CE9"/>
    <w:rsid w:val="09F30B70"/>
    <w:rsid w:val="09F4226B"/>
    <w:rsid w:val="09F712F9"/>
    <w:rsid w:val="09F82D35"/>
    <w:rsid w:val="0A161CF9"/>
    <w:rsid w:val="0A1E3C0E"/>
    <w:rsid w:val="0A282836"/>
    <w:rsid w:val="0A2D06BB"/>
    <w:rsid w:val="0A583F7C"/>
    <w:rsid w:val="0A8D7476"/>
    <w:rsid w:val="0AA36A43"/>
    <w:rsid w:val="0AA94B5E"/>
    <w:rsid w:val="0AAD6700"/>
    <w:rsid w:val="0AB8672A"/>
    <w:rsid w:val="0AC07EF3"/>
    <w:rsid w:val="0AC20A88"/>
    <w:rsid w:val="0AC56E75"/>
    <w:rsid w:val="0AD33D6C"/>
    <w:rsid w:val="0AD51DC7"/>
    <w:rsid w:val="0ADC6DDE"/>
    <w:rsid w:val="0B0A205E"/>
    <w:rsid w:val="0B0B5D53"/>
    <w:rsid w:val="0B1432C8"/>
    <w:rsid w:val="0B200B71"/>
    <w:rsid w:val="0B3C183D"/>
    <w:rsid w:val="0B497865"/>
    <w:rsid w:val="0B4D7983"/>
    <w:rsid w:val="0B5827F8"/>
    <w:rsid w:val="0B8819B3"/>
    <w:rsid w:val="0B91508E"/>
    <w:rsid w:val="0B923356"/>
    <w:rsid w:val="0BA217BB"/>
    <w:rsid w:val="0BA330D8"/>
    <w:rsid w:val="0BA65B5E"/>
    <w:rsid w:val="0BA9649C"/>
    <w:rsid w:val="0BAE5174"/>
    <w:rsid w:val="0BB056D6"/>
    <w:rsid w:val="0BC82506"/>
    <w:rsid w:val="0BC83079"/>
    <w:rsid w:val="0BD26A83"/>
    <w:rsid w:val="0BD66082"/>
    <w:rsid w:val="0BD7150E"/>
    <w:rsid w:val="0BF1078E"/>
    <w:rsid w:val="0BF5770D"/>
    <w:rsid w:val="0BFC4CC5"/>
    <w:rsid w:val="0C0F52DC"/>
    <w:rsid w:val="0C1669D1"/>
    <w:rsid w:val="0C195249"/>
    <w:rsid w:val="0C296614"/>
    <w:rsid w:val="0C3025CF"/>
    <w:rsid w:val="0C33310C"/>
    <w:rsid w:val="0C3E187F"/>
    <w:rsid w:val="0C4F095D"/>
    <w:rsid w:val="0C5A00CC"/>
    <w:rsid w:val="0C5B00DC"/>
    <w:rsid w:val="0C5E22B5"/>
    <w:rsid w:val="0C63639D"/>
    <w:rsid w:val="0C690A32"/>
    <w:rsid w:val="0C7E38B8"/>
    <w:rsid w:val="0C8168B5"/>
    <w:rsid w:val="0C93577D"/>
    <w:rsid w:val="0C977F5E"/>
    <w:rsid w:val="0C9C0A1C"/>
    <w:rsid w:val="0C9E10F2"/>
    <w:rsid w:val="0CB23118"/>
    <w:rsid w:val="0CB53FB6"/>
    <w:rsid w:val="0CBF345E"/>
    <w:rsid w:val="0CC26E46"/>
    <w:rsid w:val="0CE22638"/>
    <w:rsid w:val="0CEB61CB"/>
    <w:rsid w:val="0CF00FE5"/>
    <w:rsid w:val="0CFB198E"/>
    <w:rsid w:val="0CFF03EA"/>
    <w:rsid w:val="0D0B1E86"/>
    <w:rsid w:val="0D10171B"/>
    <w:rsid w:val="0D1307EF"/>
    <w:rsid w:val="0D165DFA"/>
    <w:rsid w:val="0D195758"/>
    <w:rsid w:val="0D1E5EE5"/>
    <w:rsid w:val="0D253D53"/>
    <w:rsid w:val="0D292708"/>
    <w:rsid w:val="0D2C6286"/>
    <w:rsid w:val="0D2E1786"/>
    <w:rsid w:val="0D39560C"/>
    <w:rsid w:val="0D3A3508"/>
    <w:rsid w:val="0D4E5DB0"/>
    <w:rsid w:val="0D5F4C51"/>
    <w:rsid w:val="0D63291D"/>
    <w:rsid w:val="0D6743D8"/>
    <w:rsid w:val="0D6D181D"/>
    <w:rsid w:val="0D737CCB"/>
    <w:rsid w:val="0D742139"/>
    <w:rsid w:val="0D837626"/>
    <w:rsid w:val="0D990EF0"/>
    <w:rsid w:val="0DA3672B"/>
    <w:rsid w:val="0DA56F38"/>
    <w:rsid w:val="0DAC1D29"/>
    <w:rsid w:val="0DAE1034"/>
    <w:rsid w:val="0DB17F62"/>
    <w:rsid w:val="0DB216BE"/>
    <w:rsid w:val="0DB45F53"/>
    <w:rsid w:val="0DB972D4"/>
    <w:rsid w:val="0DCC0FA1"/>
    <w:rsid w:val="0DE50B5F"/>
    <w:rsid w:val="0DF250BC"/>
    <w:rsid w:val="0E0C39C3"/>
    <w:rsid w:val="0E1266EC"/>
    <w:rsid w:val="0E13473E"/>
    <w:rsid w:val="0E196418"/>
    <w:rsid w:val="0E1E22EC"/>
    <w:rsid w:val="0E275020"/>
    <w:rsid w:val="0E2B543E"/>
    <w:rsid w:val="0E440008"/>
    <w:rsid w:val="0E4D10C5"/>
    <w:rsid w:val="0E501ACA"/>
    <w:rsid w:val="0E5C17FA"/>
    <w:rsid w:val="0E5E6F62"/>
    <w:rsid w:val="0E646CFB"/>
    <w:rsid w:val="0E667E8C"/>
    <w:rsid w:val="0E6D0F8F"/>
    <w:rsid w:val="0E7178FF"/>
    <w:rsid w:val="0E7B58C5"/>
    <w:rsid w:val="0E7C03E0"/>
    <w:rsid w:val="0E7C3742"/>
    <w:rsid w:val="0E8830A8"/>
    <w:rsid w:val="0E8B6647"/>
    <w:rsid w:val="0EA30039"/>
    <w:rsid w:val="0EAD0461"/>
    <w:rsid w:val="0EB043A5"/>
    <w:rsid w:val="0EB25CD7"/>
    <w:rsid w:val="0EBE659A"/>
    <w:rsid w:val="0EBF0DB1"/>
    <w:rsid w:val="0EBF2B7A"/>
    <w:rsid w:val="0ECD65BA"/>
    <w:rsid w:val="0ED20C99"/>
    <w:rsid w:val="0ED25740"/>
    <w:rsid w:val="0EDA5A94"/>
    <w:rsid w:val="0EE175AC"/>
    <w:rsid w:val="0EF00FD5"/>
    <w:rsid w:val="0F1824A4"/>
    <w:rsid w:val="0F246E5C"/>
    <w:rsid w:val="0F2D25E1"/>
    <w:rsid w:val="0F2F708B"/>
    <w:rsid w:val="0F312791"/>
    <w:rsid w:val="0F377E51"/>
    <w:rsid w:val="0F4C6401"/>
    <w:rsid w:val="0F513868"/>
    <w:rsid w:val="0F5A476B"/>
    <w:rsid w:val="0F624868"/>
    <w:rsid w:val="0F653BDF"/>
    <w:rsid w:val="0F6A08A1"/>
    <w:rsid w:val="0F6A4742"/>
    <w:rsid w:val="0F6F6798"/>
    <w:rsid w:val="0F7601BE"/>
    <w:rsid w:val="0F817B8D"/>
    <w:rsid w:val="0F843A5D"/>
    <w:rsid w:val="0F8449A3"/>
    <w:rsid w:val="0F941E85"/>
    <w:rsid w:val="0F950A26"/>
    <w:rsid w:val="0FA00D38"/>
    <w:rsid w:val="0FA12CD2"/>
    <w:rsid w:val="0FAD1EA0"/>
    <w:rsid w:val="0FB15315"/>
    <w:rsid w:val="0FC7266E"/>
    <w:rsid w:val="0FC849CB"/>
    <w:rsid w:val="0FCA56CA"/>
    <w:rsid w:val="0FD7699F"/>
    <w:rsid w:val="0FEF04AD"/>
    <w:rsid w:val="0FF50D3C"/>
    <w:rsid w:val="0FF77E30"/>
    <w:rsid w:val="0FF97E97"/>
    <w:rsid w:val="10103F6F"/>
    <w:rsid w:val="10143413"/>
    <w:rsid w:val="10162651"/>
    <w:rsid w:val="1018398A"/>
    <w:rsid w:val="101A294F"/>
    <w:rsid w:val="10283A28"/>
    <w:rsid w:val="102E3C79"/>
    <w:rsid w:val="10300349"/>
    <w:rsid w:val="10393377"/>
    <w:rsid w:val="10427D2F"/>
    <w:rsid w:val="10483D19"/>
    <w:rsid w:val="10486266"/>
    <w:rsid w:val="10523DE1"/>
    <w:rsid w:val="105E42BF"/>
    <w:rsid w:val="107442D7"/>
    <w:rsid w:val="107762B4"/>
    <w:rsid w:val="10801B8B"/>
    <w:rsid w:val="10802932"/>
    <w:rsid w:val="10850308"/>
    <w:rsid w:val="108947CF"/>
    <w:rsid w:val="10AC61D2"/>
    <w:rsid w:val="10AF65FB"/>
    <w:rsid w:val="10C2602D"/>
    <w:rsid w:val="10C36AF4"/>
    <w:rsid w:val="10C96757"/>
    <w:rsid w:val="10D47151"/>
    <w:rsid w:val="10D51D63"/>
    <w:rsid w:val="10D8773D"/>
    <w:rsid w:val="10DB318D"/>
    <w:rsid w:val="10EE4A23"/>
    <w:rsid w:val="10F04A25"/>
    <w:rsid w:val="10F70D1A"/>
    <w:rsid w:val="1111356F"/>
    <w:rsid w:val="11370A1C"/>
    <w:rsid w:val="114A0BDE"/>
    <w:rsid w:val="11560012"/>
    <w:rsid w:val="115F04A3"/>
    <w:rsid w:val="11646059"/>
    <w:rsid w:val="11675605"/>
    <w:rsid w:val="11693175"/>
    <w:rsid w:val="11730179"/>
    <w:rsid w:val="118B5DB7"/>
    <w:rsid w:val="118D2098"/>
    <w:rsid w:val="11967530"/>
    <w:rsid w:val="119835A4"/>
    <w:rsid w:val="11A20012"/>
    <w:rsid w:val="11AD1C9D"/>
    <w:rsid w:val="11B07868"/>
    <w:rsid w:val="11B14B00"/>
    <w:rsid w:val="11BF41BF"/>
    <w:rsid w:val="11C125F2"/>
    <w:rsid w:val="11CC5858"/>
    <w:rsid w:val="11CE64D9"/>
    <w:rsid w:val="11D16FF8"/>
    <w:rsid w:val="11D72869"/>
    <w:rsid w:val="11E25259"/>
    <w:rsid w:val="11EA4039"/>
    <w:rsid w:val="11EE3E25"/>
    <w:rsid w:val="11FA5413"/>
    <w:rsid w:val="12044C04"/>
    <w:rsid w:val="12171FE9"/>
    <w:rsid w:val="12202B2E"/>
    <w:rsid w:val="1220348A"/>
    <w:rsid w:val="12275561"/>
    <w:rsid w:val="123A0F6E"/>
    <w:rsid w:val="123F49C3"/>
    <w:rsid w:val="123F7FEE"/>
    <w:rsid w:val="12486111"/>
    <w:rsid w:val="125D3759"/>
    <w:rsid w:val="126321C5"/>
    <w:rsid w:val="12681C20"/>
    <w:rsid w:val="126A5EE0"/>
    <w:rsid w:val="128D2995"/>
    <w:rsid w:val="129D6065"/>
    <w:rsid w:val="129E6321"/>
    <w:rsid w:val="12A9299A"/>
    <w:rsid w:val="12B7677C"/>
    <w:rsid w:val="12B844B8"/>
    <w:rsid w:val="12BC1C76"/>
    <w:rsid w:val="12BE6CE5"/>
    <w:rsid w:val="12BF24DD"/>
    <w:rsid w:val="12D26B46"/>
    <w:rsid w:val="12FA0B73"/>
    <w:rsid w:val="13101E94"/>
    <w:rsid w:val="13165F9B"/>
    <w:rsid w:val="131C45ED"/>
    <w:rsid w:val="132223B3"/>
    <w:rsid w:val="13225DCB"/>
    <w:rsid w:val="132879AF"/>
    <w:rsid w:val="132E0DA9"/>
    <w:rsid w:val="133E716B"/>
    <w:rsid w:val="13406630"/>
    <w:rsid w:val="135958A2"/>
    <w:rsid w:val="13661DDF"/>
    <w:rsid w:val="13682AE9"/>
    <w:rsid w:val="137B6630"/>
    <w:rsid w:val="13804045"/>
    <w:rsid w:val="138D4FFB"/>
    <w:rsid w:val="13955701"/>
    <w:rsid w:val="13983A52"/>
    <w:rsid w:val="13A078CD"/>
    <w:rsid w:val="13A81ED5"/>
    <w:rsid w:val="13AE35C9"/>
    <w:rsid w:val="13BD3EE9"/>
    <w:rsid w:val="13C81197"/>
    <w:rsid w:val="13E81EB3"/>
    <w:rsid w:val="13E83A64"/>
    <w:rsid w:val="140620E1"/>
    <w:rsid w:val="140B39F3"/>
    <w:rsid w:val="140B3BEA"/>
    <w:rsid w:val="141912D8"/>
    <w:rsid w:val="14215DCF"/>
    <w:rsid w:val="14262730"/>
    <w:rsid w:val="143637B0"/>
    <w:rsid w:val="145B1DBE"/>
    <w:rsid w:val="145D747F"/>
    <w:rsid w:val="146249E3"/>
    <w:rsid w:val="147D1007"/>
    <w:rsid w:val="147D286D"/>
    <w:rsid w:val="148F4BE3"/>
    <w:rsid w:val="1490667F"/>
    <w:rsid w:val="14934D50"/>
    <w:rsid w:val="14975EF5"/>
    <w:rsid w:val="14D065C8"/>
    <w:rsid w:val="14D50B3E"/>
    <w:rsid w:val="14D84359"/>
    <w:rsid w:val="14E47ED4"/>
    <w:rsid w:val="14F85BF9"/>
    <w:rsid w:val="14FB5E4C"/>
    <w:rsid w:val="15151A16"/>
    <w:rsid w:val="151644D9"/>
    <w:rsid w:val="151C70C3"/>
    <w:rsid w:val="151E5255"/>
    <w:rsid w:val="1523206C"/>
    <w:rsid w:val="152B0557"/>
    <w:rsid w:val="152F2BFE"/>
    <w:rsid w:val="153E1CF0"/>
    <w:rsid w:val="1543255E"/>
    <w:rsid w:val="15482365"/>
    <w:rsid w:val="15482771"/>
    <w:rsid w:val="155663BB"/>
    <w:rsid w:val="15633A2E"/>
    <w:rsid w:val="156760EF"/>
    <w:rsid w:val="157C1263"/>
    <w:rsid w:val="157C4A6A"/>
    <w:rsid w:val="158D2DD6"/>
    <w:rsid w:val="15904B34"/>
    <w:rsid w:val="15922C72"/>
    <w:rsid w:val="15925116"/>
    <w:rsid w:val="159945C5"/>
    <w:rsid w:val="159C5C19"/>
    <w:rsid w:val="15A648E4"/>
    <w:rsid w:val="15AC2DBD"/>
    <w:rsid w:val="15B87EC5"/>
    <w:rsid w:val="15C60206"/>
    <w:rsid w:val="15C91779"/>
    <w:rsid w:val="15D0215C"/>
    <w:rsid w:val="15D3224A"/>
    <w:rsid w:val="15D71444"/>
    <w:rsid w:val="15D967DC"/>
    <w:rsid w:val="15DC7D85"/>
    <w:rsid w:val="15E210FB"/>
    <w:rsid w:val="15E44D4D"/>
    <w:rsid w:val="15F26BA1"/>
    <w:rsid w:val="16156B6F"/>
    <w:rsid w:val="161F3682"/>
    <w:rsid w:val="16232637"/>
    <w:rsid w:val="16265869"/>
    <w:rsid w:val="1630400E"/>
    <w:rsid w:val="1636370B"/>
    <w:rsid w:val="16376E10"/>
    <w:rsid w:val="164B04A4"/>
    <w:rsid w:val="165253BE"/>
    <w:rsid w:val="16697C34"/>
    <w:rsid w:val="166C4335"/>
    <w:rsid w:val="166D2F3F"/>
    <w:rsid w:val="16957334"/>
    <w:rsid w:val="169A02DB"/>
    <w:rsid w:val="169C2280"/>
    <w:rsid w:val="16A41DA8"/>
    <w:rsid w:val="16A56F83"/>
    <w:rsid w:val="16A81A38"/>
    <w:rsid w:val="16AA1335"/>
    <w:rsid w:val="16AA27FB"/>
    <w:rsid w:val="16AC6B73"/>
    <w:rsid w:val="16BC5F3D"/>
    <w:rsid w:val="16C47FB4"/>
    <w:rsid w:val="16DA3300"/>
    <w:rsid w:val="16E1343D"/>
    <w:rsid w:val="16F9256B"/>
    <w:rsid w:val="170335F8"/>
    <w:rsid w:val="170C456A"/>
    <w:rsid w:val="171A17F2"/>
    <w:rsid w:val="173202BC"/>
    <w:rsid w:val="173B27AB"/>
    <w:rsid w:val="173D0513"/>
    <w:rsid w:val="17422097"/>
    <w:rsid w:val="174A376B"/>
    <w:rsid w:val="174A6AAA"/>
    <w:rsid w:val="17594F32"/>
    <w:rsid w:val="175A1EF9"/>
    <w:rsid w:val="176362EA"/>
    <w:rsid w:val="17680B3A"/>
    <w:rsid w:val="176A4585"/>
    <w:rsid w:val="17874707"/>
    <w:rsid w:val="1794284E"/>
    <w:rsid w:val="17947DC6"/>
    <w:rsid w:val="1795215E"/>
    <w:rsid w:val="17983DB3"/>
    <w:rsid w:val="179B3D94"/>
    <w:rsid w:val="17AA4D17"/>
    <w:rsid w:val="17B3552A"/>
    <w:rsid w:val="17C20D24"/>
    <w:rsid w:val="17CF62DF"/>
    <w:rsid w:val="17DE7FC1"/>
    <w:rsid w:val="17ED671A"/>
    <w:rsid w:val="180D6DC0"/>
    <w:rsid w:val="181F7338"/>
    <w:rsid w:val="182174DA"/>
    <w:rsid w:val="182439B5"/>
    <w:rsid w:val="182B04E1"/>
    <w:rsid w:val="182B081B"/>
    <w:rsid w:val="182D7DCE"/>
    <w:rsid w:val="1830191A"/>
    <w:rsid w:val="183923CC"/>
    <w:rsid w:val="183B1C0B"/>
    <w:rsid w:val="18426F06"/>
    <w:rsid w:val="18574998"/>
    <w:rsid w:val="1858405F"/>
    <w:rsid w:val="1886626D"/>
    <w:rsid w:val="188C0BD4"/>
    <w:rsid w:val="188E2C7A"/>
    <w:rsid w:val="18902BDA"/>
    <w:rsid w:val="18A123DF"/>
    <w:rsid w:val="18A440DB"/>
    <w:rsid w:val="18A514F4"/>
    <w:rsid w:val="18AC2AD6"/>
    <w:rsid w:val="18B1379D"/>
    <w:rsid w:val="18BA3FD3"/>
    <w:rsid w:val="18BE47FF"/>
    <w:rsid w:val="18C21D5E"/>
    <w:rsid w:val="18E05D00"/>
    <w:rsid w:val="18E504F0"/>
    <w:rsid w:val="18EE003B"/>
    <w:rsid w:val="18EF721D"/>
    <w:rsid w:val="18F33C94"/>
    <w:rsid w:val="18F9170B"/>
    <w:rsid w:val="19026F25"/>
    <w:rsid w:val="19042AA9"/>
    <w:rsid w:val="19053F2E"/>
    <w:rsid w:val="191628BA"/>
    <w:rsid w:val="19177BD4"/>
    <w:rsid w:val="191A75FF"/>
    <w:rsid w:val="19216337"/>
    <w:rsid w:val="192239A7"/>
    <w:rsid w:val="194D7AA6"/>
    <w:rsid w:val="1959723E"/>
    <w:rsid w:val="195C2EA4"/>
    <w:rsid w:val="196C797D"/>
    <w:rsid w:val="19763565"/>
    <w:rsid w:val="198438CB"/>
    <w:rsid w:val="198607BE"/>
    <w:rsid w:val="19871CA1"/>
    <w:rsid w:val="198739B0"/>
    <w:rsid w:val="1989679B"/>
    <w:rsid w:val="199F263A"/>
    <w:rsid w:val="19A21972"/>
    <w:rsid w:val="19AB10DA"/>
    <w:rsid w:val="19AC3986"/>
    <w:rsid w:val="19B8009D"/>
    <w:rsid w:val="19BD73C4"/>
    <w:rsid w:val="1A011241"/>
    <w:rsid w:val="1A051233"/>
    <w:rsid w:val="1A09797E"/>
    <w:rsid w:val="1A195618"/>
    <w:rsid w:val="1A21293F"/>
    <w:rsid w:val="1A2C73A0"/>
    <w:rsid w:val="1A3B129C"/>
    <w:rsid w:val="1A4A2883"/>
    <w:rsid w:val="1A5430BD"/>
    <w:rsid w:val="1A55321B"/>
    <w:rsid w:val="1A605B67"/>
    <w:rsid w:val="1A731DA7"/>
    <w:rsid w:val="1A87308C"/>
    <w:rsid w:val="1A9C29BA"/>
    <w:rsid w:val="1AAE7B9A"/>
    <w:rsid w:val="1AD76E5A"/>
    <w:rsid w:val="1ADF2FFA"/>
    <w:rsid w:val="1ADF3B5C"/>
    <w:rsid w:val="1AE56005"/>
    <w:rsid w:val="1AEB37E3"/>
    <w:rsid w:val="1AF11C1B"/>
    <w:rsid w:val="1B0006E9"/>
    <w:rsid w:val="1B077F33"/>
    <w:rsid w:val="1B090F90"/>
    <w:rsid w:val="1B125408"/>
    <w:rsid w:val="1B280AED"/>
    <w:rsid w:val="1B2E5FB8"/>
    <w:rsid w:val="1B353CCC"/>
    <w:rsid w:val="1B4F563B"/>
    <w:rsid w:val="1B5338AC"/>
    <w:rsid w:val="1B67646B"/>
    <w:rsid w:val="1B774298"/>
    <w:rsid w:val="1B7C3CBE"/>
    <w:rsid w:val="1B954BF2"/>
    <w:rsid w:val="1B9F4F35"/>
    <w:rsid w:val="1BBD6B89"/>
    <w:rsid w:val="1BBF6AB1"/>
    <w:rsid w:val="1BC214B5"/>
    <w:rsid w:val="1BD2474A"/>
    <w:rsid w:val="1BD40276"/>
    <w:rsid w:val="1BDA3B9E"/>
    <w:rsid w:val="1BDB0573"/>
    <w:rsid w:val="1BDC2CA9"/>
    <w:rsid w:val="1BE77AF7"/>
    <w:rsid w:val="1BEC19C3"/>
    <w:rsid w:val="1BEF2B44"/>
    <w:rsid w:val="1BF05DA2"/>
    <w:rsid w:val="1BF22B60"/>
    <w:rsid w:val="1C0F6880"/>
    <w:rsid w:val="1C1C6AB9"/>
    <w:rsid w:val="1C251885"/>
    <w:rsid w:val="1C3A377F"/>
    <w:rsid w:val="1C3B0791"/>
    <w:rsid w:val="1C3B2C25"/>
    <w:rsid w:val="1C3B36D8"/>
    <w:rsid w:val="1C49519E"/>
    <w:rsid w:val="1C5210E6"/>
    <w:rsid w:val="1C5A112C"/>
    <w:rsid w:val="1C6468D8"/>
    <w:rsid w:val="1C6871BF"/>
    <w:rsid w:val="1C6F36AA"/>
    <w:rsid w:val="1C9D1D1A"/>
    <w:rsid w:val="1CAC63A2"/>
    <w:rsid w:val="1CB12B36"/>
    <w:rsid w:val="1CB36A2B"/>
    <w:rsid w:val="1CBF141C"/>
    <w:rsid w:val="1CC11A9D"/>
    <w:rsid w:val="1CC631A6"/>
    <w:rsid w:val="1CCF5DE1"/>
    <w:rsid w:val="1CD2211E"/>
    <w:rsid w:val="1CE65BE2"/>
    <w:rsid w:val="1CFA193C"/>
    <w:rsid w:val="1D045167"/>
    <w:rsid w:val="1D052B0D"/>
    <w:rsid w:val="1D0725A2"/>
    <w:rsid w:val="1D0949D0"/>
    <w:rsid w:val="1D0D2953"/>
    <w:rsid w:val="1D130E25"/>
    <w:rsid w:val="1D27054C"/>
    <w:rsid w:val="1D2A56B0"/>
    <w:rsid w:val="1D2B45F2"/>
    <w:rsid w:val="1D35523B"/>
    <w:rsid w:val="1D3A3979"/>
    <w:rsid w:val="1D524933"/>
    <w:rsid w:val="1D550E5D"/>
    <w:rsid w:val="1D607EF1"/>
    <w:rsid w:val="1D735BAE"/>
    <w:rsid w:val="1D7622D1"/>
    <w:rsid w:val="1D7B5D4E"/>
    <w:rsid w:val="1D7C5BD9"/>
    <w:rsid w:val="1DA07307"/>
    <w:rsid w:val="1DA838D4"/>
    <w:rsid w:val="1DAC53DB"/>
    <w:rsid w:val="1DAF44E9"/>
    <w:rsid w:val="1DB314CA"/>
    <w:rsid w:val="1DB51AF8"/>
    <w:rsid w:val="1DB96DC9"/>
    <w:rsid w:val="1DC776DE"/>
    <w:rsid w:val="1DD50C9C"/>
    <w:rsid w:val="1DE46665"/>
    <w:rsid w:val="1DFE57AE"/>
    <w:rsid w:val="1E0A3716"/>
    <w:rsid w:val="1E1B058D"/>
    <w:rsid w:val="1E2663C8"/>
    <w:rsid w:val="1E2934B1"/>
    <w:rsid w:val="1E4873F6"/>
    <w:rsid w:val="1E56615C"/>
    <w:rsid w:val="1E5D04C1"/>
    <w:rsid w:val="1E637164"/>
    <w:rsid w:val="1E68674D"/>
    <w:rsid w:val="1E7B5E94"/>
    <w:rsid w:val="1E7C33AB"/>
    <w:rsid w:val="1E7D36AB"/>
    <w:rsid w:val="1E852D64"/>
    <w:rsid w:val="1E885A16"/>
    <w:rsid w:val="1E8B380B"/>
    <w:rsid w:val="1E964070"/>
    <w:rsid w:val="1E9D2F54"/>
    <w:rsid w:val="1EA8378F"/>
    <w:rsid w:val="1EAD1F69"/>
    <w:rsid w:val="1EB32D91"/>
    <w:rsid w:val="1EBC7EA9"/>
    <w:rsid w:val="1EC4041E"/>
    <w:rsid w:val="1EC8011F"/>
    <w:rsid w:val="1EC80604"/>
    <w:rsid w:val="1ED03D78"/>
    <w:rsid w:val="1ED819AC"/>
    <w:rsid w:val="1ED96BAC"/>
    <w:rsid w:val="1EE0445B"/>
    <w:rsid w:val="1EEB00E5"/>
    <w:rsid w:val="1F127D8B"/>
    <w:rsid w:val="1F301CB8"/>
    <w:rsid w:val="1F366BBC"/>
    <w:rsid w:val="1F392BCD"/>
    <w:rsid w:val="1F3C5CC9"/>
    <w:rsid w:val="1F3F1AE9"/>
    <w:rsid w:val="1F411718"/>
    <w:rsid w:val="1F497412"/>
    <w:rsid w:val="1F646DC1"/>
    <w:rsid w:val="1F732B20"/>
    <w:rsid w:val="1F761B3B"/>
    <w:rsid w:val="1F7E28A3"/>
    <w:rsid w:val="1F8743E2"/>
    <w:rsid w:val="1F906129"/>
    <w:rsid w:val="1F922B70"/>
    <w:rsid w:val="1F994A72"/>
    <w:rsid w:val="1FB03A70"/>
    <w:rsid w:val="1FBA733E"/>
    <w:rsid w:val="1FC2238E"/>
    <w:rsid w:val="1FCE3736"/>
    <w:rsid w:val="1FD0175C"/>
    <w:rsid w:val="1FD74E06"/>
    <w:rsid w:val="1FE805A7"/>
    <w:rsid w:val="1FFB1A27"/>
    <w:rsid w:val="20123DE9"/>
    <w:rsid w:val="20152B35"/>
    <w:rsid w:val="201A25AA"/>
    <w:rsid w:val="201B3CA9"/>
    <w:rsid w:val="201B4802"/>
    <w:rsid w:val="202739AD"/>
    <w:rsid w:val="202F14EE"/>
    <w:rsid w:val="202F29E8"/>
    <w:rsid w:val="204736EE"/>
    <w:rsid w:val="204D6739"/>
    <w:rsid w:val="204F0854"/>
    <w:rsid w:val="204F2CAA"/>
    <w:rsid w:val="20523957"/>
    <w:rsid w:val="205B3789"/>
    <w:rsid w:val="205C10C7"/>
    <w:rsid w:val="205F28AB"/>
    <w:rsid w:val="2073107D"/>
    <w:rsid w:val="2078593D"/>
    <w:rsid w:val="20795B9A"/>
    <w:rsid w:val="207A4A59"/>
    <w:rsid w:val="207A7608"/>
    <w:rsid w:val="20807D89"/>
    <w:rsid w:val="20870B5F"/>
    <w:rsid w:val="20A53238"/>
    <w:rsid w:val="20A5482E"/>
    <w:rsid w:val="20B973A7"/>
    <w:rsid w:val="20CF0E6C"/>
    <w:rsid w:val="20E253EC"/>
    <w:rsid w:val="20EE652C"/>
    <w:rsid w:val="20F3646E"/>
    <w:rsid w:val="20F43A1D"/>
    <w:rsid w:val="20F54B8B"/>
    <w:rsid w:val="210D1BDF"/>
    <w:rsid w:val="21111241"/>
    <w:rsid w:val="212C6DC8"/>
    <w:rsid w:val="213059AA"/>
    <w:rsid w:val="21341AC5"/>
    <w:rsid w:val="2136765C"/>
    <w:rsid w:val="214851A7"/>
    <w:rsid w:val="214A6815"/>
    <w:rsid w:val="215F4961"/>
    <w:rsid w:val="217C3B09"/>
    <w:rsid w:val="217F0811"/>
    <w:rsid w:val="21942E69"/>
    <w:rsid w:val="21997AAB"/>
    <w:rsid w:val="21A22D3A"/>
    <w:rsid w:val="21AF39A4"/>
    <w:rsid w:val="21B77484"/>
    <w:rsid w:val="21BC799E"/>
    <w:rsid w:val="21C17EED"/>
    <w:rsid w:val="21C22992"/>
    <w:rsid w:val="21D02AEE"/>
    <w:rsid w:val="21D50A89"/>
    <w:rsid w:val="21FC7D50"/>
    <w:rsid w:val="221C04A1"/>
    <w:rsid w:val="221E0243"/>
    <w:rsid w:val="221E5E77"/>
    <w:rsid w:val="22230702"/>
    <w:rsid w:val="22285068"/>
    <w:rsid w:val="224E52E3"/>
    <w:rsid w:val="22641DF6"/>
    <w:rsid w:val="22785462"/>
    <w:rsid w:val="227A607F"/>
    <w:rsid w:val="227D608B"/>
    <w:rsid w:val="227E6AF5"/>
    <w:rsid w:val="2288694B"/>
    <w:rsid w:val="22974BF6"/>
    <w:rsid w:val="22A26306"/>
    <w:rsid w:val="22A51BDE"/>
    <w:rsid w:val="22AC3ACE"/>
    <w:rsid w:val="22B8209B"/>
    <w:rsid w:val="22CB032E"/>
    <w:rsid w:val="22CD5A68"/>
    <w:rsid w:val="22D2541D"/>
    <w:rsid w:val="22D30BD4"/>
    <w:rsid w:val="22D37811"/>
    <w:rsid w:val="22D61008"/>
    <w:rsid w:val="22E93FC5"/>
    <w:rsid w:val="22F03A46"/>
    <w:rsid w:val="22F70C81"/>
    <w:rsid w:val="22FA26B0"/>
    <w:rsid w:val="23041A08"/>
    <w:rsid w:val="23076A23"/>
    <w:rsid w:val="230C6591"/>
    <w:rsid w:val="231616A0"/>
    <w:rsid w:val="231C7F38"/>
    <w:rsid w:val="23326C78"/>
    <w:rsid w:val="233565B5"/>
    <w:rsid w:val="233C0102"/>
    <w:rsid w:val="23417E3C"/>
    <w:rsid w:val="235B7157"/>
    <w:rsid w:val="236176AD"/>
    <w:rsid w:val="236A5027"/>
    <w:rsid w:val="23737F78"/>
    <w:rsid w:val="237750EB"/>
    <w:rsid w:val="23814F77"/>
    <w:rsid w:val="238C29DC"/>
    <w:rsid w:val="238F1FA8"/>
    <w:rsid w:val="23A27800"/>
    <w:rsid w:val="23A67BBA"/>
    <w:rsid w:val="23A73E94"/>
    <w:rsid w:val="23B24DBB"/>
    <w:rsid w:val="23B25DED"/>
    <w:rsid w:val="23BB47AD"/>
    <w:rsid w:val="23CD641B"/>
    <w:rsid w:val="23D53E00"/>
    <w:rsid w:val="23DA6BF0"/>
    <w:rsid w:val="23E2536B"/>
    <w:rsid w:val="23E41A61"/>
    <w:rsid w:val="23ED61E9"/>
    <w:rsid w:val="23EE5611"/>
    <w:rsid w:val="23F414D2"/>
    <w:rsid w:val="240573C2"/>
    <w:rsid w:val="24120B90"/>
    <w:rsid w:val="241E18FA"/>
    <w:rsid w:val="24227C85"/>
    <w:rsid w:val="243C7366"/>
    <w:rsid w:val="243D47BE"/>
    <w:rsid w:val="2440589A"/>
    <w:rsid w:val="24444C51"/>
    <w:rsid w:val="244A24E7"/>
    <w:rsid w:val="245D226E"/>
    <w:rsid w:val="245E10A6"/>
    <w:rsid w:val="24625AF4"/>
    <w:rsid w:val="24632602"/>
    <w:rsid w:val="247457F3"/>
    <w:rsid w:val="24784B25"/>
    <w:rsid w:val="2479561C"/>
    <w:rsid w:val="248D32CC"/>
    <w:rsid w:val="24963200"/>
    <w:rsid w:val="24AD573C"/>
    <w:rsid w:val="24BB1A5B"/>
    <w:rsid w:val="24BC128C"/>
    <w:rsid w:val="24BC659D"/>
    <w:rsid w:val="24C91210"/>
    <w:rsid w:val="24CA2E29"/>
    <w:rsid w:val="24CC5902"/>
    <w:rsid w:val="24DB2C5D"/>
    <w:rsid w:val="24EB1E69"/>
    <w:rsid w:val="24F83A10"/>
    <w:rsid w:val="250B17B8"/>
    <w:rsid w:val="2515787B"/>
    <w:rsid w:val="252E62DD"/>
    <w:rsid w:val="2533260F"/>
    <w:rsid w:val="253653B0"/>
    <w:rsid w:val="254872DE"/>
    <w:rsid w:val="2549580F"/>
    <w:rsid w:val="25496091"/>
    <w:rsid w:val="254C2823"/>
    <w:rsid w:val="254E4E24"/>
    <w:rsid w:val="255F57BD"/>
    <w:rsid w:val="25736A8A"/>
    <w:rsid w:val="25746BC2"/>
    <w:rsid w:val="25774A4A"/>
    <w:rsid w:val="25817544"/>
    <w:rsid w:val="258F57F0"/>
    <w:rsid w:val="25986012"/>
    <w:rsid w:val="25A46AFD"/>
    <w:rsid w:val="25A9082F"/>
    <w:rsid w:val="25B511CC"/>
    <w:rsid w:val="25BC160A"/>
    <w:rsid w:val="25C45D7E"/>
    <w:rsid w:val="25C478E4"/>
    <w:rsid w:val="25DD6EBB"/>
    <w:rsid w:val="25EA5AEE"/>
    <w:rsid w:val="25F505DA"/>
    <w:rsid w:val="26110F3B"/>
    <w:rsid w:val="2615439D"/>
    <w:rsid w:val="26154D78"/>
    <w:rsid w:val="261610BF"/>
    <w:rsid w:val="26257AC2"/>
    <w:rsid w:val="26276160"/>
    <w:rsid w:val="262B52ED"/>
    <w:rsid w:val="262D151D"/>
    <w:rsid w:val="2650137B"/>
    <w:rsid w:val="265F0E17"/>
    <w:rsid w:val="26606A0B"/>
    <w:rsid w:val="26617792"/>
    <w:rsid w:val="266E0097"/>
    <w:rsid w:val="26866D7E"/>
    <w:rsid w:val="2688278D"/>
    <w:rsid w:val="268C69AE"/>
    <w:rsid w:val="26921EB6"/>
    <w:rsid w:val="2694311D"/>
    <w:rsid w:val="26947E12"/>
    <w:rsid w:val="26A17289"/>
    <w:rsid w:val="26A80B44"/>
    <w:rsid w:val="26B06BB7"/>
    <w:rsid w:val="26B23B7D"/>
    <w:rsid w:val="26BB2270"/>
    <w:rsid w:val="26BF341F"/>
    <w:rsid w:val="26C9299F"/>
    <w:rsid w:val="26E326B1"/>
    <w:rsid w:val="26F7385B"/>
    <w:rsid w:val="26F87AD2"/>
    <w:rsid w:val="26F930B7"/>
    <w:rsid w:val="27037301"/>
    <w:rsid w:val="270C1026"/>
    <w:rsid w:val="27245092"/>
    <w:rsid w:val="27372C80"/>
    <w:rsid w:val="274319C8"/>
    <w:rsid w:val="2745642B"/>
    <w:rsid w:val="27466A5A"/>
    <w:rsid w:val="2750348F"/>
    <w:rsid w:val="275705DC"/>
    <w:rsid w:val="2759255D"/>
    <w:rsid w:val="275C2384"/>
    <w:rsid w:val="27730CA6"/>
    <w:rsid w:val="277D72BF"/>
    <w:rsid w:val="279638C1"/>
    <w:rsid w:val="279D4C08"/>
    <w:rsid w:val="27B37DC1"/>
    <w:rsid w:val="27B41F12"/>
    <w:rsid w:val="27BB489F"/>
    <w:rsid w:val="27CB24C6"/>
    <w:rsid w:val="27D370DF"/>
    <w:rsid w:val="27D96416"/>
    <w:rsid w:val="27E536B2"/>
    <w:rsid w:val="27E66365"/>
    <w:rsid w:val="27EC0702"/>
    <w:rsid w:val="27F244EA"/>
    <w:rsid w:val="280D33D7"/>
    <w:rsid w:val="2816790A"/>
    <w:rsid w:val="28223B82"/>
    <w:rsid w:val="282329EB"/>
    <w:rsid w:val="28385094"/>
    <w:rsid w:val="283F73A2"/>
    <w:rsid w:val="28464826"/>
    <w:rsid w:val="28495368"/>
    <w:rsid w:val="28516B80"/>
    <w:rsid w:val="285403F5"/>
    <w:rsid w:val="285906A3"/>
    <w:rsid w:val="285F6D99"/>
    <w:rsid w:val="28695E69"/>
    <w:rsid w:val="286F7574"/>
    <w:rsid w:val="287425E6"/>
    <w:rsid w:val="2878387A"/>
    <w:rsid w:val="287D2EE5"/>
    <w:rsid w:val="28817576"/>
    <w:rsid w:val="288A328F"/>
    <w:rsid w:val="28AC7BE9"/>
    <w:rsid w:val="28AF3E56"/>
    <w:rsid w:val="28DD5466"/>
    <w:rsid w:val="28E549AD"/>
    <w:rsid w:val="28F7401E"/>
    <w:rsid w:val="290164BF"/>
    <w:rsid w:val="291E5389"/>
    <w:rsid w:val="29212040"/>
    <w:rsid w:val="29242DA8"/>
    <w:rsid w:val="292B596E"/>
    <w:rsid w:val="292B7859"/>
    <w:rsid w:val="292E40A7"/>
    <w:rsid w:val="29350E34"/>
    <w:rsid w:val="293A525D"/>
    <w:rsid w:val="29425B5D"/>
    <w:rsid w:val="29471E6D"/>
    <w:rsid w:val="296137A4"/>
    <w:rsid w:val="29711ECA"/>
    <w:rsid w:val="29844814"/>
    <w:rsid w:val="298F26A4"/>
    <w:rsid w:val="2997466B"/>
    <w:rsid w:val="29B36FCB"/>
    <w:rsid w:val="29BC20BE"/>
    <w:rsid w:val="29C40C54"/>
    <w:rsid w:val="29DB216D"/>
    <w:rsid w:val="29DC20F3"/>
    <w:rsid w:val="29F0476F"/>
    <w:rsid w:val="29F04AEF"/>
    <w:rsid w:val="29F415A7"/>
    <w:rsid w:val="29FC0BE3"/>
    <w:rsid w:val="29FE591A"/>
    <w:rsid w:val="2A037183"/>
    <w:rsid w:val="2A07436D"/>
    <w:rsid w:val="2A076E8F"/>
    <w:rsid w:val="2A091087"/>
    <w:rsid w:val="2A150C5A"/>
    <w:rsid w:val="2A364B90"/>
    <w:rsid w:val="2A3B02F0"/>
    <w:rsid w:val="2A3E14C9"/>
    <w:rsid w:val="2A407618"/>
    <w:rsid w:val="2A4169FF"/>
    <w:rsid w:val="2A4C63B6"/>
    <w:rsid w:val="2A604DC6"/>
    <w:rsid w:val="2A645847"/>
    <w:rsid w:val="2A6601A2"/>
    <w:rsid w:val="2A927584"/>
    <w:rsid w:val="2A9B516E"/>
    <w:rsid w:val="2A9E73F5"/>
    <w:rsid w:val="2AA1021C"/>
    <w:rsid w:val="2AA25428"/>
    <w:rsid w:val="2AB246C9"/>
    <w:rsid w:val="2AB526EF"/>
    <w:rsid w:val="2AC155C0"/>
    <w:rsid w:val="2AC2744B"/>
    <w:rsid w:val="2ACA0349"/>
    <w:rsid w:val="2AD23744"/>
    <w:rsid w:val="2AD45712"/>
    <w:rsid w:val="2AE212A5"/>
    <w:rsid w:val="2AE70617"/>
    <w:rsid w:val="2AEA57E4"/>
    <w:rsid w:val="2AF56E17"/>
    <w:rsid w:val="2B086A69"/>
    <w:rsid w:val="2B0B7D5C"/>
    <w:rsid w:val="2B1267ED"/>
    <w:rsid w:val="2B140F58"/>
    <w:rsid w:val="2B222E22"/>
    <w:rsid w:val="2B231A10"/>
    <w:rsid w:val="2B295138"/>
    <w:rsid w:val="2B382445"/>
    <w:rsid w:val="2B424D20"/>
    <w:rsid w:val="2B52187D"/>
    <w:rsid w:val="2B5410D5"/>
    <w:rsid w:val="2B546D3C"/>
    <w:rsid w:val="2B7714FD"/>
    <w:rsid w:val="2B771E01"/>
    <w:rsid w:val="2B926C80"/>
    <w:rsid w:val="2B98201E"/>
    <w:rsid w:val="2BA1571D"/>
    <w:rsid w:val="2BC57007"/>
    <w:rsid w:val="2BC765DD"/>
    <w:rsid w:val="2BCA188A"/>
    <w:rsid w:val="2BCA49B9"/>
    <w:rsid w:val="2BD058B3"/>
    <w:rsid w:val="2BD12AC9"/>
    <w:rsid w:val="2BD52366"/>
    <w:rsid w:val="2BD751E2"/>
    <w:rsid w:val="2BE643F3"/>
    <w:rsid w:val="2BE85527"/>
    <w:rsid w:val="2BE86958"/>
    <w:rsid w:val="2BE965C3"/>
    <w:rsid w:val="2BEC61B2"/>
    <w:rsid w:val="2BEE3A93"/>
    <w:rsid w:val="2BF225A2"/>
    <w:rsid w:val="2BF7377E"/>
    <w:rsid w:val="2C0978F2"/>
    <w:rsid w:val="2C0E205B"/>
    <w:rsid w:val="2C1379A7"/>
    <w:rsid w:val="2C183B4A"/>
    <w:rsid w:val="2C2216A3"/>
    <w:rsid w:val="2C6576D8"/>
    <w:rsid w:val="2C692D75"/>
    <w:rsid w:val="2C7117E8"/>
    <w:rsid w:val="2C7B5438"/>
    <w:rsid w:val="2C835B06"/>
    <w:rsid w:val="2C8711B5"/>
    <w:rsid w:val="2C8E40C7"/>
    <w:rsid w:val="2C9D74B8"/>
    <w:rsid w:val="2CA32563"/>
    <w:rsid w:val="2CAA3BAF"/>
    <w:rsid w:val="2CB928CE"/>
    <w:rsid w:val="2CC949A6"/>
    <w:rsid w:val="2CD060AB"/>
    <w:rsid w:val="2CD50972"/>
    <w:rsid w:val="2CD86950"/>
    <w:rsid w:val="2CDF0A72"/>
    <w:rsid w:val="2CE06019"/>
    <w:rsid w:val="2CE46C46"/>
    <w:rsid w:val="2CF02FD5"/>
    <w:rsid w:val="2D0F21E1"/>
    <w:rsid w:val="2D0F49D2"/>
    <w:rsid w:val="2D1207DC"/>
    <w:rsid w:val="2D1D0172"/>
    <w:rsid w:val="2D1D2DF3"/>
    <w:rsid w:val="2D316533"/>
    <w:rsid w:val="2D4101EB"/>
    <w:rsid w:val="2D42755F"/>
    <w:rsid w:val="2D4E76BB"/>
    <w:rsid w:val="2D577E28"/>
    <w:rsid w:val="2D5E47BF"/>
    <w:rsid w:val="2D5E7FF3"/>
    <w:rsid w:val="2D8032CF"/>
    <w:rsid w:val="2D810271"/>
    <w:rsid w:val="2D835FF4"/>
    <w:rsid w:val="2D870A51"/>
    <w:rsid w:val="2D9B7132"/>
    <w:rsid w:val="2DAB6E45"/>
    <w:rsid w:val="2DB238C0"/>
    <w:rsid w:val="2DC362D7"/>
    <w:rsid w:val="2DCC04FF"/>
    <w:rsid w:val="2DD058BA"/>
    <w:rsid w:val="2DDE6F4B"/>
    <w:rsid w:val="2DE70B4B"/>
    <w:rsid w:val="2DE91D02"/>
    <w:rsid w:val="2DEA3B25"/>
    <w:rsid w:val="2DEB76F8"/>
    <w:rsid w:val="2DFF3D30"/>
    <w:rsid w:val="2E0B07EF"/>
    <w:rsid w:val="2E0D0EB1"/>
    <w:rsid w:val="2E13611D"/>
    <w:rsid w:val="2E1457F5"/>
    <w:rsid w:val="2E306C9F"/>
    <w:rsid w:val="2E3275B6"/>
    <w:rsid w:val="2E3433C3"/>
    <w:rsid w:val="2E3F473B"/>
    <w:rsid w:val="2E495435"/>
    <w:rsid w:val="2E4F5ECE"/>
    <w:rsid w:val="2E5E27BA"/>
    <w:rsid w:val="2E6526D4"/>
    <w:rsid w:val="2E6B4D02"/>
    <w:rsid w:val="2E73407B"/>
    <w:rsid w:val="2E7D138C"/>
    <w:rsid w:val="2EC9713A"/>
    <w:rsid w:val="2ECB4126"/>
    <w:rsid w:val="2ECB4AA8"/>
    <w:rsid w:val="2ECC77C9"/>
    <w:rsid w:val="2EDB5D0E"/>
    <w:rsid w:val="2EDE45CD"/>
    <w:rsid w:val="2EE4759A"/>
    <w:rsid w:val="2EEA64C5"/>
    <w:rsid w:val="2EF709F5"/>
    <w:rsid w:val="2F05221E"/>
    <w:rsid w:val="2F076E3F"/>
    <w:rsid w:val="2F1311C3"/>
    <w:rsid w:val="2F176637"/>
    <w:rsid w:val="2F1865A0"/>
    <w:rsid w:val="2F2C4EFD"/>
    <w:rsid w:val="2F356879"/>
    <w:rsid w:val="2F394853"/>
    <w:rsid w:val="2F3F6E94"/>
    <w:rsid w:val="2F423E2F"/>
    <w:rsid w:val="2F426968"/>
    <w:rsid w:val="2F4F4AAA"/>
    <w:rsid w:val="2F844446"/>
    <w:rsid w:val="2F922397"/>
    <w:rsid w:val="2FA213DD"/>
    <w:rsid w:val="2FB93E1A"/>
    <w:rsid w:val="2FC02045"/>
    <w:rsid w:val="2FC64594"/>
    <w:rsid w:val="2FC92408"/>
    <w:rsid w:val="2FCA54FE"/>
    <w:rsid w:val="2FDA0480"/>
    <w:rsid w:val="2FDD5122"/>
    <w:rsid w:val="2FDD6507"/>
    <w:rsid w:val="2FE11D73"/>
    <w:rsid w:val="2FF3614C"/>
    <w:rsid w:val="2FFA6E75"/>
    <w:rsid w:val="2FFC6FE3"/>
    <w:rsid w:val="30181FD0"/>
    <w:rsid w:val="302449DB"/>
    <w:rsid w:val="302D2181"/>
    <w:rsid w:val="303B3FFC"/>
    <w:rsid w:val="303D5ED5"/>
    <w:rsid w:val="3059333A"/>
    <w:rsid w:val="305C7094"/>
    <w:rsid w:val="30612A67"/>
    <w:rsid w:val="306F7309"/>
    <w:rsid w:val="307026A8"/>
    <w:rsid w:val="30761917"/>
    <w:rsid w:val="30890A1F"/>
    <w:rsid w:val="308B4316"/>
    <w:rsid w:val="30962FA8"/>
    <w:rsid w:val="309E4AC9"/>
    <w:rsid w:val="30A747FC"/>
    <w:rsid w:val="30AD6ADD"/>
    <w:rsid w:val="30AE36B2"/>
    <w:rsid w:val="30AE53CC"/>
    <w:rsid w:val="30AE54A0"/>
    <w:rsid w:val="30B07F54"/>
    <w:rsid w:val="30B25459"/>
    <w:rsid w:val="30C26D45"/>
    <w:rsid w:val="30C47986"/>
    <w:rsid w:val="30CC665E"/>
    <w:rsid w:val="30E54263"/>
    <w:rsid w:val="30E721D6"/>
    <w:rsid w:val="30EC7372"/>
    <w:rsid w:val="30ED4AC1"/>
    <w:rsid w:val="30EF21A2"/>
    <w:rsid w:val="30F3210D"/>
    <w:rsid w:val="310053A0"/>
    <w:rsid w:val="310B3425"/>
    <w:rsid w:val="310F3E1A"/>
    <w:rsid w:val="31140014"/>
    <w:rsid w:val="311557D6"/>
    <w:rsid w:val="31336807"/>
    <w:rsid w:val="313401E8"/>
    <w:rsid w:val="314301FD"/>
    <w:rsid w:val="314D7CBC"/>
    <w:rsid w:val="31511DD2"/>
    <w:rsid w:val="31675910"/>
    <w:rsid w:val="31746F99"/>
    <w:rsid w:val="317D297D"/>
    <w:rsid w:val="317E2C49"/>
    <w:rsid w:val="31867D8A"/>
    <w:rsid w:val="318A5A2E"/>
    <w:rsid w:val="31904669"/>
    <w:rsid w:val="3195022C"/>
    <w:rsid w:val="319D285B"/>
    <w:rsid w:val="31A05B59"/>
    <w:rsid w:val="31A63253"/>
    <w:rsid w:val="31B53956"/>
    <w:rsid w:val="31BA0BEF"/>
    <w:rsid w:val="31BB4E94"/>
    <w:rsid w:val="31DC682F"/>
    <w:rsid w:val="31F065C0"/>
    <w:rsid w:val="31F1060D"/>
    <w:rsid w:val="31F34C8B"/>
    <w:rsid w:val="31FA036E"/>
    <w:rsid w:val="31FC16F8"/>
    <w:rsid w:val="31FC668E"/>
    <w:rsid w:val="320A7E1E"/>
    <w:rsid w:val="321A11DA"/>
    <w:rsid w:val="321C79C3"/>
    <w:rsid w:val="3234257A"/>
    <w:rsid w:val="3237395A"/>
    <w:rsid w:val="32386ECB"/>
    <w:rsid w:val="323974FA"/>
    <w:rsid w:val="323E472F"/>
    <w:rsid w:val="324238E5"/>
    <w:rsid w:val="32445194"/>
    <w:rsid w:val="32465F0C"/>
    <w:rsid w:val="3255050E"/>
    <w:rsid w:val="325C7498"/>
    <w:rsid w:val="325D477C"/>
    <w:rsid w:val="325E417E"/>
    <w:rsid w:val="326112EC"/>
    <w:rsid w:val="326A3289"/>
    <w:rsid w:val="32785302"/>
    <w:rsid w:val="327949AD"/>
    <w:rsid w:val="327A53E3"/>
    <w:rsid w:val="327B184E"/>
    <w:rsid w:val="3282177F"/>
    <w:rsid w:val="3285239B"/>
    <w:rsid w:val="32874D75"/>
    <w:rsid w:val="32930388"/>
    <w:rsid w:val="32951F5C"/>
    <w:rsid w:val="32AA2259"/>
    <w:rsid w:val="32B32941"/>
    <w:rsid w:val="32C55657"/>
    <w:rsid w:val="32C873CA"/>
    <w:rsid w:val="32C8763F"/>
    <w:rsid w:val="32CB7903"/>
    <w:rsid w:val="32CC1F77"/>
    <w:rsid w:val="32E1410F"/>
    <w:rsid w:val="330B6CD9"/>
    <w:rsid w:val="33142DEC"/>
    <w:rsid w:val="33207D4C"/>
    <w:rsid w:val="33286233"/>
    <w:rsid w:val="33331724"/>
    <w:rsid w:val="333E5D4D"/>
    <w:rsid w:val="334C47BB"/>
    <w:rsid w:val="33591103"/>
    <w:rsid w:val="335E663F"/>
    <w:rsid w:val="33617C53"/>
    <w:rsid w:val="33784D4E"/>
    <w:rsid w:val="33942853"/>
    <w:rsid w:val="339540DA"/>
    <w:rsid w:val="33974E4B"/>
    <w:rsid w:val="339A3135"/>
    <w:rsid w:val="339F1166"/>
    <w:rsid w:val="33B24EE6"/>
    <w:rsid w:val="33B55174"/>
    <w:rsid w:val="33CF183C"/>
    <w:rsid w:val="33CF327A"/>
    <w:rsid w:val="33D45DB3"/>
    <w:rsid w:val="33D461FA"/>
    <w:rsid w:val="33DC41B0"/>
    <w:rsid w:val="33FD4577"/>
    <w:rsid w:val="340921FE"/>
    <w:rsid w:val="341326E0"/>
    <w:rsid w:val="342B7E96"/>
    <w:rsid w:val="342C73F3"/>
    <w:rsid w:val="3440457F"/>
    <w:rsid w:val="34497F48"/>
    <w:rsid w:val="344F6D07"/>
    <w:rsid w:val="34512EBD"/>
    <w:rsid w:val="34597642"/>
    <w:rsid w:val="346A331B"/>
    <w:rsid w:val="346D0238"/>
    <w:rsid w:val="347F241E"/>
    <w:rsid w:val="34836D76"/>
    <w:rsid w:val="34860C8A"/>
    <w:rsid w:val="348B2336"/>
    <w:rsid w:val="348D62D9"/>
    <w:rsid w:val="34913576"/>
    <w:rsid w:val="34924F22"/>
    <w:rsid w:val="3492595A"/>
    <w:rsid w:val="349A0ACB"/>
    <w:rsid w:val="349A390E"/>
    <w:rsid w:val="34A549FD"/>
    <w:rsid w:val="34A77092"/>
    <w:rsid w:val="34B019D5"/>
    <w:rsid w:val="34B324F2"/>
    <w:rsid w:val="34B446A3"/>
    <w:rsid w:val="34C840F7"/>
    <w:rsid w:val="34C858D1"/>
    <w:rsid w:val="34D055A4"/>
    <w:rsid w:val="34D1064D"/>
    <w:rsid w:val="34E44CB4"/>
    <w:rsid w:val="34E45C68"/>
    <w:rsid w:val="34E742A3"/>
    <w:rsid w:val="34EC234B"/>
    <w:rsid w:val="34F747A6"/>
    <w:rsid w:val="34FB2F1D"/>
    <w:rsid w:val="34FD0913"/>
    <w:rsid w:val="34FD5006"/>
    <w:rsid w:val="35104D48"/>
    <w:rsid w:val="35203508"/>
    <w:rsid w:val="352720E7"/>
    <w:rsid w:val="35324480"/>
    <w:rsid w:val="3536315B"/>
    <w:rsid w:val="353E18A5"/>
    <w:rsid w:val="353F0706"/>
    <w:rsid w:val="35424826"/>
    <w:rsid w:val="35791346"/>
    <w:rsid w:val="357C1ACB"/>
    <w:rsid w:val="358C5CB0"/>
    <w:rsid w:val="35962709"/>
    <w:rsid w:val="35AD2D18"/>
    <w:rsid w:val="35C74252"/>
    <w:rsid w:val="35D91BDB"/>
    <w:rsid w:val="35D92339"/>
    <w:rsid w:val="35D95D4D"/>
    <w:rsid w:val="35E316BC"/>
    <w:rsid w:val="35F3112C"/>
    <w:rsid w:val="35F5206E"/>
    <w:rsid w:val="35FC01CF"/>
    <w:rsid w:val="35FC0A8C"/>
    <w:rsid w:val="361F67D6"/>
    <w:rsid w:val="3638280A"/>
    <w:rsid w:val="364A25FA"/>
    <w:rsid w:val="36666EB7"/>
    <w:rsid w:val="366A7A65"/>
    <w:rsid w:val="3680222E"/>
    <w:rsid w:val="369F21FD"/>
    <w:rsid w:val="36A5286A"/>
    <w:rsid w:val="36AB6D85"/>
    <w:rsid w:val="36BA6F9A"/>
    <w:rsid w:val="36C409BF"/>
    <w:rsid w:val="36C54A66"/>
    <w:rsid w:val="36E151F4"/>
    <w:rsid w:val="36E33645"/>
    <w:rsid w:val="36E76534"/>
    <w:rsid w:val="36FC5A05"/>
    <w:rsid w:val="3708106A"/>
    <w:rsid w:val="370918D3"/>
    <w:rsid w:val="37141500"/>
    <w:rsid w:val="37240010"/>
    <w:rsid w:val="372D3D32"/>
    <w:rsid w:val="37414F79"/>
    <w:rsid w:val="37481954"/>
    <w:rsid w:val="37512384"/>
    <w:rsid w:val="3758078A"/>
    <w:rsid w:val="375D79D2"/>
    <w:rsid w:val="376170E7"/>
    <w:rsid w:val="37642030"/>
    <w:rsid w:val="376B5FBC"/>
    <w:rsid w:val="37744FE9"/>
    <w:rsid w:val="3783172F"/>
    <w:rsid w:val="3784401D"/>
    <w:rsid w:val="378A34E8"/>
    <w:rsid w:val="378C5970"/>
    <w:rsid w:val="379A5133"/>
    <w:rsid w:val="37AC56A4"/>
    <w:rsid w:val="37B133F8"/>
    <w:rsid w:val="37B4140F"/>
    <w:rsid w:val="37C202F1"/>
    <w:rsid w:val="37D3125C"/>
    <w:rsid w:val="37DE43BB"/>
    <w:rsid w:val="37DF265C"/>
    <w:rsid w:val="37E854FE"/>
    <w:rsid w:val="37F72055"/>
    <w:rsid w:val="37F86E4F"/>
    <w:rsid w:val="38051A2F"/>
    <w:rsid w:val="38191256"/>
    <w:rsid w:val="381B1B02"/>
    <w:rsid w:val="381B6A47"/>
    <w:rsid w:val="382D4691"/>
    <w:rsid w:val="382E3521"/>
    <w:rsid w:val="38336073"/>
    <w:rsid w:val="38357178"/>
    <w:rsid w:val="383979B2"/>
    <w:rsid w:val="383D1978"/>
    <w:rsid w:val="384028BC"/>
    <w:rsid w:val="384E3333"/>
    <w:rsid w:val="38634B4D"/>
    <w:rsid w:val="38647B4B"/>
    <w:rsid w:val="386D3AC8"/>
    <w:rsid w:val="387A2F19"/>
    <w:rsid w:val="388204B7"/>
    <w:rsid w:val="38895C27"/>
    <w:rsid w:val="38954993"/>
    <w:rsid w:val="389D78CE"/>
    <w:rsid w:val="38AD5B27"/>
    <w:rsid w:val="38AE2696"/>
    <w:rsid w:val="38B27324"/>
    <w:rsid w:val="38B8006B"/>
    <w:rsid w:val="38C96379"/>
    <w:rsid w:val="38D274E2"/>
    <w:rsid w:val="38D465AB"/>
    <w:rsid w:val="38D67AE1"/>
    <w:rsid w:val="38DA122B"/>
    <w:rsid w:val="38EB597F"/>
    <w:rsid w:val="38F1632B"/>
    <w:rsid w:val="38F34A4B"/>
    <w:rsid w:val="38F910C2"/>
    <w:rsid w:val="3902595D"/>
    <w:rsid w:val="39033464"/>
    <w:rsid w:val="39074979"/>
    <w:rsid w:val="390B6AE8"/>
    <w:rsid w:val="39122915"/>
    <w:rsid w:val="39195A01"/>
    <w:rsid w:val="392412EB"/>
    <w:rsid w:val="39316BBE"/>
    <w:rsid w:val="39362058"/>
    <w:rsid w:val="39400AF5"/>
    <w:rsid w:val="39452A55"/>
    <w:rsid w:val="394B0C33"/>
    <w:rsid w:val="394E415A"/>
    <w:rsid w:val="39506E75"/>
    <w:rsid w:val="39557CA7"/>
    <w:rsid w:val="39683878"/>
    <w:rsid w:val="397872C1"/>
    <w:rsid w:val="397A4153"/>
    <w:rsid w:val="39847497"/>
    <w:rsid w:val="398921D2"/>
    <w:rsid w:val="398A7847"/>
    <w:rsid w:val="39982681"/>
    <w:rsid w:val="39A56BD8"/>
    <w:rsid w:val="39A7017C"/>
    <w:rsid w:val="39BB7646"/>
    <w:rsid w:val="39D71653"/>
    <w:rsid w:val="39DA2ACC"/>
    <w:rsid w:val="39E036B5"/>
    <w:rsid w:val="39E052E6"/>
    <w:rsid w:val="39E17BC0"/>
    <w:rsid w:val="39E25608"/>
    <w:rsid w:val="39E31BBE"/>
    <w:rsid w:val="39E33398"/>
    <w:rsid w:val="39E729B4"/>
    <w:rsid w:val="39F05134"/>
    <w:rsid w:val="39F267CB"/>
    <w:rsid w:val="39FA6220"/>
    <w:rsid w:val="39FE746F"/>
    <w:rsid w:val="3A0E7A85"/>
    <w:rsid w:val="3A1412F1"/>
    <w:rsid w:val="3A1508A6"/>
    <w:rsid w:val="3A162451"/>
    <w:rsid w:val="3A167A3F"/>
    <w:rsid w:val="3A1E67C4"/>
    <w:rsid w:val="3A2734F2"/>
    <w:rsid w:val="3A3D5B7D"/>
    <w:rsid w:val="3A455CE0"/>
    <w:rsid w:val="3A471395"/>
    <w:rsid w:val="3A4720DF"/>
    <w:rsid w:val="3A4D771B"/>
    <w:rsid w:val="3A4F274F"/>
    <w:rsid w:val="3A4F5D47"/>
    <w:rsid w:val="3A504E74"/>
    <w:rsid w:val="3A550F12"/>
    <w:rsid w:val="3A62369D"/>
    <w:rsid w:val="3A6D5900"/>
    <w:rsid w:val="3A6E1720"/>
    <w:rsid w:val="3A732D0E"/>
    <w:rsid w:val="3A7373D9"/>
    <w:rsid w:val="3A8658E1"/>
    <w:rsid w:val="3A866DF4"/>
    <w:rsid w:val="3A894A98"/>
    <w:rsid w:val="3A9D7B60"/>
    <w:rsid w:val="3AB14DFD"/>
    <w:rsid w:val="3ABC7F96"/>
    <w:rsid w:val="3AC92D6C"/>
    <w:rsid w:val="3ACD1CAB"/>
    <w:rsid w:val="3ADA3C5E"/>
    <w:rsid w:val="3AEE7953"/>
    <w:rsid w:val="3AF75B72"/>
    <w:rsid w:val="3AF777AD"/>
    <w:rsid w:val="3AFF72B4"/>
    <w:rsid w:val="3B124295"/>
    <w:rsid w:val="3B1F5462"/>
    <w:rsid w:val="3B32195F"/>
    <w:rsid w:val="3B3C7D9C"/>
    <w:rsid w:val="3B3E7373"/>
    <w:rsid w:val="3B3F349B"/>
    <w:rsid w:val="3B3F4998"/>
    <w:rsid w:val="3B4728BD"/>
    <w:rsid w:val="3B5A38CD"/>
    <w:rsid w:val="3B5D6695"/>
    <w:rsid w:val="3B680630"/>
    <w:rsid w:val="3B6D1D96"/>
    <w:rsid w:val="3B792C2C"/>
    <w:rsid w:val="3B804AEC"/>
    <w:rsid w:val="3B82125C"/>
    <w:rsid w:val="3B974FB6"/>
    <w:rsid w:val="3B980D45"/>
    <w:rsid w:val="3B9D526A"/>
    <w:rsid w:val="3BA11944"/>
    <w:rsid w:val="3BC272AD"/>
    <w:rsid w:val="3BC403EF"/>
    <w:rsid w:val="3BD02AB6"/>
    <w:rsid w:val="3BD135D0"/>
    <w:rsid w:val="3BDE7747"/>
    <w:rsid w:val="3BEC00A5"/>
    <w:rsid w:val="3BFA5AC4"/>
    <w:rsid w:val="3C0024DE"/>
    <w:rsid w:val="3C026156"/>
    <w:rsid w:val="3C065D84"/>
    <w:rsid w:val="3C0666D7"/>
    <w:rsid w:val="3C1477A2"/>
    <w:rsid w:val="3C1E3783"/>
    <w:rsid w:val="3C3101C8"/>
    <w:rsid w:val="3C36150F"/>
    <w:rsid w:val="3C432D2B"/>
    <w:rsid w:val="3C590DDA"/>
    <w:rsid w:val="3C5C40CE"/>
    <w:rsid w:val="3C5F5C2C"/>
    <w:rsid w:val="3C662FA2"/>
    <w:rsid w:val="3C6C2CB2"/>
    <w:rsid w:val="3C6D6253"/>
    <w:rsid w:val="3C78475F"/>
    <w:rsid w:val="3C785E85"/>
    <w:rsid w:val="3C792341"/>
    <w:rsid w:val="3C7D2A99"/>
    <w:rsid w:val="3C886444"/>
    <w:rsid w:val="3C893B84"/>
    <w:rsid w:val="3CA663A0"/>
    <w:rsid w:val="3CB62963"/>
    <w:rsid w:val="3CC31577"/>
    <w:rsid w:val="3CC5631B"/>
    <w:rsid w:val="3CC70727"/>
    <w:rsid w:val="3CC9284C"/>
    <w:rsid w:val="3CCD6D34"/>
    <w:rsid w:val="3CE2733F"/>
    <w:rsid w:val="3CE926C6"/>
    <w:rsid w:val="3CED5915"/>
    <w:rsid w:val="3CF91AF0"/>
    <w:rsid w:val="3CFB0D68"/>
    <w:rsid w:val="3D0207EF"/>
    <w:rsid w:val="3D0216D5"/>
    <w:rsid w:val="3D166332"/>
    <w:rsid w:val="3D21234A"/>
    <w:rsid w:val="3D30205C"/>
    <w:rsid w:val="3D412BC6"/>
    <w:rsid w:val="3D481E55"/>
    <w:rsid w:val="3D507CFC"/>
    <w:rsid w:val="3D78133B"/>
    <w:rsid w:val="3D78232E"/>
    <w:rsid w:val="3D84295B"/>
    <w:rsid w:val="3D9C0C3B"/>
    <w:rsid w:val="3DDA6E98"/>
    <w:rsid w:val="3DDC75AF"/>
    <w:rsid w:val="3DE6604F"/>
    <w:rsid w:val="3DF1248C"/>
    <w:rsid w:val="3DFE29F5"/>
    <w:rsid w:val="3E0A2D25"/>
    <w:rsid w:val="3E0D4019"/>
    <w:rsid w:val="3E163A70"/>
    <w:rsid w:val="3E214FAC"/>
    <w:rsid w:val="3E2740ED"/>
    <w:rsid w:val="3E3368F5"/>
    <w:rsid w:val="3E336ACB"/>
    <w:rsid w:val="3E3A5C3D"/>
    <w:rsid w:val="3E445D69"/>
    <w:rsid w:val="3E486B35"/>
    <w:rsid w:val="3E55135A"/>
    <w:rsid w:val="3E622303"/>
    <w:rsid w:val="3E7B0CA2"/>
    <w:rsid w:val="3E87508C"/>
    <w:rsid w:val="3E9E7B20"/>
    <w:rsid w:val="3EA42F71"/>
    <w:rsid w:val="3EB336DE"/>
    <w:rsid w:val="3EBF1832"/>
    <w:rsid w:val="3ED87C62"/>
    <w:rsid w:val="3EDF63B4"/>
    <w:rsid w:val="3EE50799"/>
    <w:rsid w:val="3EE95FC8"/>
    <w:rsid w:val="3EF26437"/>
    <w:rsid w:val="3F112044"/>
    <w:rsid w:val="3F23243F"/>
    <w:rsid w:val="3F3045FD"/>
    <w:rsid w:val="3F347A09"/>
    <w:rsid w:val="3F3C436D"/>
    <w:rsid w:val="3F3D1618"/>
    <w:rsid w:val="3F48310A"/>
    <w:rsid w:val="3F4C5A0D"/>
    <w:rsid w:val="3F5D4D73"/>
    <w:rsid w:val="3F5D5B55"/>
    <w:rsid w:val="3F610AE4"/>
    <w:rsid w:val="3F674C79"/>
    <w:rsid w:val="3FA91D27"/>
    <w:rsid w:val="3FB21447"/>
    <w:rsid w:val="3FB8270A"/>
    <w:rsid w:val="3FC67498"/>
    <w:rsid w:val="3FC87F7C"/>
    <w:rsid w:val="3FCD317A"/>
    <w:rsid w:val="3FD1202B"/>
    <w:rsid w:val="3FDD632A"/>
    <w:rsid w:val="3FE36C4E"/>
    <w:rsid w:val="3FEA4BA4"/>
    <w:rsid w:val="3FEC77B5"/>
    <w:rsid w:val="3FFF7671"/>
    <w:rsid w:val="40187418"/>
    <w:rsid w:val="401D651F"/>
    <w:rsid w:val="40210257"/>
    <w:rsid w:val="40345B26"/>
    <w:rsid w:val="4038582D"/>
    <w:rsid w:val="403F4E9C"/>
    <w:rsid w:val="40423167"/>
    <w:rsid w:val="40457035"/>
    <w:rsid w:val="40506074"/>
    <w:rsid w:val="405B76B3"/>
    <w:rsid w:val="40624727"/>
    <w:rsid w:val="40641C06"/>
    <w:rsid w:val="40650324"/>
    <w:rsid w:val="40676D7F"/>
    <w:rsid w:val="407E437C"/>
    <w:rsid w:val="408120C9"/>
    <w:rsid w:val="408B428D"/>
    <w:rsid w:val="4098042B"/>
    <w:rsid w:val="40A87B55"/>
    <w:rsid w:val="40B539D9"/>
    <w:rsid w:val="40BD1257"/>
    <w:rsid w:val="40BF3C20"/>
    <w:rsid w:val="40BF605E"/>
    <w:rsid w:val="40C46EF6"/>
    <w:rsid w:val="40CA5315"/>
    <w:rsid w:val="40CB0B8C"/>
    <w:rsid w:val="40D072E3"/>
    <w:rsid w:val="40DF55D8"/>
    <w:rsid w:val="40E21F67"/>
    <w:rsid w:val="41060BB2"/>
    <w:rsid w:val="410718AC"/>
    <w:rsid w:val="4107748D"/>
    <w:rsid w:val="41165459"/>
    <w:rsid w:val="411877BD"/>
    <w:rsid w:val="41276A18"/>
    <w:rsid w:val="41314A4B"/>
    <w:rsid w:val="413D3C37"/>
    <w:rsid w:val="414F66E8"/>
    <w:rsid w:val="4158540B"/>
    <w:rsid w:val="415876F7"/>
    <w:rsid w:val="415C6614"/>
    <w:rsid w:val="415E29DB"/>
    <w:rsid w:val="4160642D"/>
    <w:rsid w:val="416A30FB"/>
    <w:rsid w:val="416C09EE"/>
    <w:rsid w:val="417A7CD0"/>
    <w:rsid w:val="41816411"/>
    <w:rsid w:val="418658C7"/>
    <w:rsid w:val="418D092E"/>
    <w:rsid w:val="41956760"/>
    <w:rsid w:val="41990D41"/>
    <w:rsid w:val="419E3296"/>
    <w:rsid w:val="41A13F09"/>
    <w:rsid w:val="41A4502D"/>
    <w:rsid w:val="41A75F55"/>
    <w:rsid w:val="41AF7FD7"/>
    <w:rsid w:val="41B75571"/>
    <w:rsid w:val="41C44BAD"/>
    <w:rsid w:val="41D376A0"/>
    <w:rsid w:val="41D6238D"/>
    <w:rsid w:val="41DD58DD"/>
    <w:rsid w:val="41E504E3"/>
    <w:rsid w:val="41E87FBF"/>
    <w:rsid w:val="41EF03F8"/>
    <w:rsid w:val="41F078A9"/>
    <w:rsid w:val="41F95FFA"/>
    <w:rsid w:val="420167A9"/>
    <w:rsid w:val="42121994"/>
    <w:rsid w:val="422C5975"/>
    <w:rsid w:val="42312D18"/>
    <w:rsid w:val="42381718"/>
    <w:rsid w:val="425038CB"/>
    <w:rsid w:val="426A4533"/>
    <w:rsid w:val="427A21A4"/>
    <w:rsid w:val="427B26D3"/>
    <w:rsid w:val="427C1EE7"/>
    <w:rsid w:val="42876682"/>
    <w:rsid w:val="429946F7"/>
    <w:rsid w:val="429C5934"/>
    <w:rsid w:val="42A26DD9"/>
    <w:rsid w:val="42AC7E84"/>
    <w:rsid w:val="42AE6520"/>
    <w:rsid w:val="42C14529"/>
    <w:rsid w:val="42C85860"/>
    <w:rsid w:val="42D77D97"/>
    <w:rsid w:val="42D953D2"/>
    <w:rsid w:val="42EB3BDD"/>
    <w:rsid w:val="42F55EEA"/>
    <w:rsid w:val="430633AD"/>
    <w:rsid w:val="430C07EC"/>
    <w:rsid w:val="43117A83"/>
    <w:rsid w:val="431728AB"/>
    <w:rsid w:val="431E334A"/>
    <w:rsid w:val="43217F27"/>
    <w:rsid w:val="432B72FC"/>
    <w:rsid w:val="432C2830"/>
    <w:rsid w:val="432C73F0"/>
    <w:rsid w:val="433147CC"/>
    <w:rsid w:val="43370814"/>
    <w:rsid w:val="43430A46"/>
    <w:rsid w:val="43495472"/>
    <w:rsid w:val="434C596E"/>
    <w:rsid w:val="434E19EE"/>
    <w:rsid w:val="434F7E7D"/>
    <w:rsid w:val="435543B5"/>
    <w:rsid w:val="43615AD5"/>
    <w:rsid w:val="4367760A"/>
    <w:rsid w:val="43756F98"/>
    <w:rsid w:val="437B4CA3"/>
    <w:rsid w:val="437B6048"/>
    <w:rsid w:val="4391056B"/>
    <w:rsid w:val="43940EAC"/>
    <w:rsid w:val="439D0860"/>
    <w:rsid w:val="43A01077"/>
    <w:rsid w:val="43AF281C"/>
    <w:rsid w:val="43BA26A8"/>
    <w:rsid w:val="43BB4E0F"/>
    <w:rsid w:val="43C37027"/>
    <w:rsid w:val="43C84461"/>
    <w:rsid w:val="43CA07CD"/>
    <w:rsid w:val="43CC681C"/>
    <w:rsid w:val="43DD18D7"/>
    <w:rsid w:val="43E70907"/>
    <w:rsid w:val="43ED3490"/>
    <w:rsid w:val="44136413"/>
    <w:rsid w:val="44405880"/>
    <w:rsid w:val="444163E8"/>
    <w:rsid w:val="4442328A"/>
    <w:rsid w:val="44542AA1"/>
    <w:rsid w:val="44573C95"/>
    <w:rsid w:val="445D203D"/>
    <w:rsid w:val="446704F0"/>
    <w:rsid w:val="446935B5"/>
    <w:rsid w:val="447033FE"/>
    <w:rsid w:val="4470532A"/>
    <w:rsid w:val="447B7867"/>
    <w:rsid w:val="4480671A"/>
    <w:rsid w:val="44861284"/>
    <w:rsid w:val="448A3A88"/>
    <w:rsid w:val="4499722B"/>
    <w:rsid w:val="44A445F6"/>
    <w:rsid w:val="44A85BBE"/>
    <w:rsid w:val="44AB50A6"/>
    <w:rsid w:val="44AC5BBD"/>
    <w:rsid w:val="44AD30E1"/>
    <w:rsid w:val="44B27143"/>
    <w:rsid w:val="44B445A4"/>
    <w:rsid w:val="44BC3AD3"/>
    <w:rsid w:val="44C349DF"/>
    <w:rsid w:val="44CA6DD4"/>
    <w:rsid w:val="44D46564"/>
    <w:rsid w:val="44D53195"/>
    <w:rsid w:val="44DF580B"/>
    <w:rsid w:val="44E473D2"/>
    <w:rsid w:val="44EA6461"/>
    <w:rsid w:val="44EE7B6D"/>
    <w:rsid w:val="44EF662B"/>
    <w:rsid w:val="44F052E7"/>
    <w:rsid w:val="44FE7FC8"/>
    <w:rsid w:val="450741F4"/>
    <w:rsid w:val="45132398"/>
    <w:rsid w:val="451515C1"/>
    <w:rsid w:val="45151DF2"/>
    <w:rsid w:val="45154E79"/>
    <w:rsid w:val="4529523A"/>
    <w:rsid w:val="452B1C34"/>
    <w:rsid w:val="453232D5"/>
    <w:rsid w:val="453946F2"/>
    <w:rsid w:val="453F6254"/>
    <w:rsid w:val="45484B75"/>
    <w:rsid w:val="454B7B24"/>
    <w:rsid w:val="45522C5F"/>
    <w:rsid w:val="4552591E"/>
    <w:rsid w:val="455524CB"/>
    <w:rsid w:val="45584796"/>
    <w:rsid w:val="456968EA"/>
    <w:rsid w:val="456B60A3"/>
    <w:rsid w:val="4573276C"/>
    <w:rsid w:val="45843C85"/>
    <w:rsid w:val="45850E49"/>
    <w:rsid w:val="458A02D1"/>
    <w:rsid w:val="458D2A79"/>
    <w:rsid w:val="45900053"/>
    <w:rsid w:val="45937A0A"/>
    <w:rsid w:val="45A430BC"/>
    <w:rsid w:val="45A83CC6"/>
    <w:rsid w:val="45AC2DEC"/>
    <w:rsid w:val="45B3225B"/>
    <w:rsid w:val="45B44731"/>
    <w:rsid w:val="45B53BFD"/>
    <w:rsid w:val="45ED5159"/>
    <w:rsid w:val="45F672BC"/>
    <w:rsid w:val="45FE2E2E"/>
    <w:rsid w:val="45FF1C64"/>
    <w:rsid w:val="46014C22"/>
    <w:rsid w:val="46102FC5"/>
    <w:rsid w:val="462F2ADC"/>
    <w:rsid w:val="46343468"/>
    <w:rsid w:val="463D5AC2"/>
    <w:rsid w:val="46486051"/>
    <w:rsid w:val="46780BC0"/>
    <w:rsid w:val="467903D9"/>
    <w:rsid w:val="467E4120"/>
    <w:rsid w:val="4691410C"/>
    <w:rsid w:val="4692165D"/>
    <w:rsid w:val="46A75CB9"/>
    <w:rsid w:val="46C03869"/>
    <w:rsid w:val="46C0605D"/>
    <w:rsid w:val="46C6766E"/>
    <w:rsid w:val="46C971D1"/>
    <w:rsid w:val="46CC6F6E"/>
    <w:rsid w:val="46CC76DC"/>
    <w:rsid w:val="46DF3BF4"/>
    <w:rsid w:val="46EF331C"/>
    <w:rsid w:val="46FD7A88"/>
    <w:rsid w:val="46FE0310"/>
    <w:rsid w:val="47001A3A"/>
    <w:rsid w:val="473841AF"/>
    <w:rsid w:val="47454962"/>
    <w:rsid w:val="475A3200"/>
    <w:rsid w:val="475F01F6"/>
    <w:rsid w:val="47766893"/>
    <w:rsid w:val="478C319A"/>
    <w:rsid w:val="479917D2"/>
    <w:rsid w:val="479A5513"/>
    <w:rsid w:val="47A07715"/>
    <w:rsid w:val="47AC1623"/>
    <w:rsid w:val="47B94CA3"/>
    <w:rsid w:val="47C46950"/>
    <w:rsid w:val="47DA0A72"/>
    <w:rsid w:val="47E42317"/>
    <w:rsid w:val="47E813DE"/>
    <w:rsid w:val="47EA0DDF"/>
    <w:rsid w:val="47F33108"/>
    <w:rsid w:val="47FE40B4"/>
    <w:rsid w:val="48067AAE"/>
    <w:rsid w:val="48076ADC"/>
    <w:rsid w:val="480D0849"/>
    <w:rsid w:val="480E2D96"/>
    <w:rsid w:val="48391DEF"/>
    <w:rsid w:val="483B6C31"/>
    <w:rsid w:val="484522F1"/>
    <w:rsid w:val="486271A6"/>
    <w:rsid w:val="486C74EF"/>
    <w:rsid w:val="486E7DE2"/>
    <w:rsid w:val="48706BC9"/>
    <w:rsid w:val="48824E9F"/>
    <w:rsid w:val="488832F7"/>
    <w:rsid w:val="48897B51"/>
    <w:rsid w:val="488E6DB1"/>
    <w:rsid w:val="4896027A"/>
    <w:rsid w:val="48B239CD"/>
    <w:rsid w:val="48B907DA"/>
    <w:rsid w:val="48BC5CE6"/>
    <w:rsid w:val="48CA44B1"/>
    <w:rsid w:val="48CE7BBA"/>
    <w:rsid w:val="48D67822"/>
    <w:rsid w:val="48DE18F8"/>
    <w:rsid w:val="48EB6889"/>
    <w:rsid w:val="48F132E4"/>
    <w:rsid w:val="48F304A5"/>
    <w:rsid w:val="48F67D80"/>
    <w:rsid w:val="49013FB9"/>
    <w:rsid w:val="491807B2"/>
    <w:rsid w:val="491D3E9A"/>
    <w:rsid w:val="49233B9B"/>
    <w:rsid w:val="49281EEB"/>
    <w:rsid w:val="493A4CBD"/>
    <w:rsid w:val="4948572A"/>
    <w:rsid w:val="494E57A7"/>
    <w:rsid w:val="49557DB4"/>
    <w:rsid w:val="497F394C"/>
    <w:rsid w:val="49810C85"/>
    <w:rsid w:val="49964425"/>
    <w:rsid w:val="49AF4E85"/>
    <w:rsid w:val="49BC26FA"/>
    <w:rsid w:val="49BD2F38"/>
    <w:rsid w:val="49CF5868"/>
    <w:rsid w:val="49E35068"/>
    <w:rsid w:val="49E65C10"/>
    <w:rsid w:val="49E83CF0"/>
    <w:rsid w:val="49EA20CB"/>
    <w:rsid w:val="49EC4BF7"/>
    <w:rsid w:val="4A005042"/>
    <w:rsid w:val="4A1B2C5A"/>
    <w:rsid w:val="4A2331DF"/>
    <w:rsid w:val="4A2D1701"/>
    <w:rsid w:val="4A354FF0"/>
    <w:rsid w:val="4A375DCA"/>
    <w:rsid w:val="4A485D4D"/>
    <w:rsid w:val="4A531352"/>
    <w:rsid w:val="4A5D6AC1"/>
    <w:rsid w:val="4A7C6A4E"/>
    <w:rsid w:val="4A7D12BD"/>
    <w:rsid w:val="4A7D7CEF"/>
    <w:rsid w:val="4A812248"/>
    <w:rsid w:val="4AAF1F97"/>
    <w:rsid w:val="4AB11018"/>
    <w:rsid w:val="4AB12BCA"/>
    <w:rsid w:val="4AB23963"/>
    <w:rsid w:val="4AB75B08"/>
    <w:rsid w:val="4AC6268A"/>
    <w:rsid w:val="4AD04248"/>
    <w:rsid w:val="4AD456E5"/>
    <w:rsid w:val="4AD651D1"/>
    <w:rsid w:val="4AE15C42"/>
    <w:rsid w:val="4AE509C4"/>
    <w:rsid w:val="4AFC187C"/>
    <w:rsid w:val="4AFF165E"/>
    <w:rsid w:val="4AFF465F"/>
    <w:rsid w:val="4B13606B"/>
    <w:rsid w:val="4B176851"/>
    <w:rsid w:val="4B1800C4"/>
    <w:rsid w:val="4B1F7852"/>
    <w:rsid w:val="4B223282"/>
    <w:rsid w:val="4B280FC9"/>
    <w:rsid w:val="4B2E3C6D"/>
    <w:rsid w:val="4B354E7A"/>
    <w:rsid w:val="4B370F6F"/>
    <w:rsid w:val="4B37138D"/>
    <w:rsid w:val="4B392D7B"/>
    <w:rsid w:val="4B3F7AA0"/>
    <w:rsid w:val="4B4608CA"/>
    <w:rsid w:val="4B482F6A"/>
    <w:rsid w:val="4B5805F6"/>
    <w:rsid w:val="4B5E191D"/>
    <w:rsid w:val="4B681E2D"/>
    <w:rsid w:val="4B6E3C40"/>
    <w:rsid w:val="4B7769A9"/>
    <w:rsid w:val="4B7A2759"/>
    <w:rsid w:val="4B8D0AA0"/>
    <w:rsid w:val="4B986F98"/>
    <w:rsid w:val="4BA96067"/>
    <w:rsid w:val="4BC1073B"/>
    <w:rsid w:val="4BC94889"/>
    <w:rsid w:val="4BD4755D"/>
    <w:rsid w:val="4BD52CDD"/>
    <w:rsid w:val="4BDF7DA7"/>
    <w:rsid w:val="4BFE147D"/>
    <w:rsid w:val="4C015C4B"/>
    <w:rsid w:val="4C0815CD"/>
    <w:rsid w:val="4C0D655C"/>
    <w:rsid w:val="4C174797"/>
    <w:rsid w:val="4C351003"/>
    <w:rsid w:val="4C384B25"/>
    <w:rsid w:val="4C3C14A6"/>
    <w:rsid w:val="4C3D75CA"/>
    <w:rsid w:val="4C5A2056"/>
    <w:rsid w:val="4C7D5883"/>
    <w:rsid w:val="4C810117"/>
    <w:rsid w:val="4C816545"/>
    <w:rsid w:val="4C8667AA"/>
    <w:rsid w:val="4C8B56CA"/>
    <w:rsid w:val="4C93158D"/>
    <w:rsid w:val="4CA908AF"/>
    <w:rsid w:val="4CC15EFE"/>
    <w:rsid w:val="4CC85637"/>
    <w:rsid w:val="4CDF4A1E"/>
    <w:rsid w:val="4CE2580D"/>
    <w:rsid w:val="4CEF2ECE"/>
    <w:rsid w:val="4CF22BAA"/>
    <w:rsid w:val="4CF2407F"/>
    <w:rsid w:val="4CF46133"/>
    <w:rsid w:val="4D027D52"/>
    <w:rsid w:val="4D1141B6"/>
    <w:rsid w:val="4D1B7253"/>
    <w:rsid w:val="4D1F542F"/>
    <w:rsid w:val="4D1F59D6"/>
    <w:rsid w:val="4D233BFA"/>
    <w:rsid w:val="4D371258"/>
    <w:rsid w:val="4D372611"/>
    <w:rsid w:val="4D3B3787"/>
    <w:rsid w:val="4D450432"/>
    <w:rsid w:val="4D4C54EA"/>
    <w:rsid w:val="4D4D5A45"/>
    <w:rsid w:val="4D5D794F"/>
    <w:rsid w:val="4D5F4AB8"/>
    <w:rsid w:val="4D637F89"/>
    <w:rsid w:val="4D680BC6"/>
    <w:rsid w:val="4D6E20DA"/>
    <w:rsid w:val="4D6E2218"/>
    <w:rsid w:val="4D6F226F"/>
    <w:rsid w:val="4D7F6DBC"/>
    <w:rsid w:val="4D9A24C4"/>
    <w:rsid w:val="4D9B7AA6"/>
    <w:rsid w:val="4D9E13E3"/>
    <w:rsid w:val="4DB37301"/>
    <w:rsid w:val="4DBC10E8"/>
    <w:rsid w:val="4DBF1132"/>
    <w:rsid w:val="4DEB6BB4"/>
    <w:rsid w:val="4E03423D"/>
    <w:rsid w:val="4E073314"/>
    <w:rsid w:val="4E137309"/>
    <w:rsid w:val="4E16427A"/>
    <w:rsid w:val="4E293749"/>
    <w:rsid w:val="4E311D35"/>
    <w:rsid w:val="4E3339C2"/>
    <w:rsid w:val="4E3543B5"/>
    <w:rsid w:val="4E387077"/>
    <w:rsid w:val="4E3F0A92"/>
    <w:rsid w:val="4E560D31"/>
    <w:rsid w:val="4E5B3AB1"/>
    <w:rsid w:val="4E5B4698"/>
    <w:rsid w:val="4E5D5E82"/>
    <w:rsid w:val="4E5E0413"/>
    <w:rsid w:val="4E670B67"/>
    <w:rsid w:val="4E69741D"/>
    <w:rsid w:val="4E8201C8"/>
    <w:rsid w:val="4E8D2217"/>
    <w:rsid w:val="4E8D7EF7"/>
    <w:rsid w:val="4E937A98"/>
    <w:rsid w:val="4EA214E1"/>
    <w:rsid w:val="4EA50732"/>
    <w:rsid w:val="4EA635C7"/>
    <w:rsid w:val="4EA73B29"/>
    <w:rsid w:val="4EA93B54"/>
    <w:rsid w:val="4EAB2E6E"/>
    <w:rsid w:val="4EAC0E3E"/>
    <w:rsid w:val="4EC76471"/>
    <w:rsid w:val="4ECF137B"/>
    <w:rsid w:val="4ED02FE9"/>
    <w:rsid w:val="4ED36734"/>
    <w:rsid w:val="4ED719B4"/>
    <w:rsid w:val="4EE0106A"/>
    <w:rsid w:val="4EE654CB"/>
    <w:rsid w:val="4EED7796"/>
    <w:rsid w:val="4F000315"/>
    <w:rsid w:val="4F064D64"/>
    <w:rsid w:val="4F0E4942"/>
    <w:rsid w:val="4F0E4C15"/>
    <w:rsid w:val="4F0F4D96"/>
    <w:rsid w:val="4F0F650F"/>
    <w:rsid w:val="4F104A8B"/>
    <w:rsid w:val="4F4212A3"/>
    <w:rsid w:val="4F4A71BF"/>
    <w:rsid w:val="4F530A3F"/>
    <w:rsid w:val="4F5A4158"/>
    <w:rsid w:val="4F5C2646"/>
    <w:rsid w:val="4F6653DC"/>
    <w:rsid w:val="4F6765BF"/>
    <w:rsid w:val="4F6909C8"/>
    <w:rsid w:val="4F6B32CD"/>
    <w:rsid w:val="4F7B2436"/>
    <w:rsid w:val="4F7D484B"/>
    <w:rsid w:val="4F8035A6"/>
    <w:rsid w:val="4F8B3153"/>
    <w:rsid w:val="4FA10085"/>
    <w:rsid w:val="4FB202F7"/>
    <w:rsid w:val="4FB9113E"/>
    <w:rsid w:val="4FBE2301"/>
    <w:rsid w:val="4FBE5A53"/>
    <w:rsid w:val="4FC2357A"/>
    <w:rsid w:val="4FC800CA"/>
    <w:rsid w:val="4FCB2319"/>
    <w:rsid w:val="4FDF145C"/>
    <w:rsid w:val="4FDF2EC7"/>
    <w:rsid w:val="4FE7647A"/>
    <w:rsid w:val="4FEF4606"/>
    <w:rsid w:val="4FFB0990"/>
    <w:rsid w:val="4FFF37DE"/>
    <w:rsid w:val="50101AF1"/>
    <w:rsid w:val="50191C27"/>
    <w:rsid w:val="501E66A2"/>
    <w:rsid w:val="502554A3"/>
    <w:rsid w:val="50330494"/>
    <w:rsid w:val="503414F8"/>
    <w:rsid w:val="503466C0"/>
    <w:rsid w:val="503A5C9C"/>
    <w:rsid w:val="504606EA"/>
    <w:rsid w:val="506B2AFC"/>
    <w:rsid w:val="50762351"/>
    <w:rsid w:val="507C1077"/>
    <w:rsid w:val="507C6F14"/>
    <w:rsid w:val="507F2A54"/>
    <w:rsid w:val="5080752E"/>
    <w:rsid w:val="508201FB"/>
    <w:rsid w:val="508B17E4"/>
    <w:rsid w:val="50A03B12"/>
    <w:rsid w:val="50A87F7D"/>
    <w:rsid w:val="50BB4165"/>
    <w:rsid w:val="50BD1360"/>
    <w:rsid w:val="50C008AB"/>
    <w:rsid w:val="50C41EAB"/>
    <w:rsid w:val="50CA1AF7"/>
    <w:rsid w:val="50D96CA3"/>
    <w:rsid w:val="50DB13A7"/>
    <w:rsid w:val="50E00D90"/>
    <w:rsid w:val="50EB565A"/>
    <w:rsid w:val="50F308B0"/>
    <w:rsid w:val="50F5708A"/>
    <w:rsid w:val="50FB6FC8"/>
    <w:rsid w:val="51000156"/>
    <w:rsid w:val="5109610A"/>
    <w:rsid w:val="51134584"/>
    <w:rsid w:val="511F27A0"/>
    <w:rsid w:val="511F2B28"/>
    <w:rsid w:val="512A2C00"/>
    <w:rsid w:val="512E227A"/>
    <w:rsid w:val="51355C56"/>
    <w:rsid w:val="514658B9"/>
    <w:rsid w:val="514A7C35"/>
    <w:rsid w:val="51567E4C"/>
    <w:rsid w:val="515D5818"/>
    <w:rsid w:val="51667E39"/>
    <w:rsid w:val="516E4F1B"/>
    <w:rsid w:val="51845FD2"/>
    <w:rsid w:val="51853ADD"/>
    <w:rsid w:val="51916F89"/>
    <w:rsid w:val="51A11904"/>
    <w:rsid w:val="51AA04E8"/>
    <w:rsid w:val="51AD0A0A"/>
    <w:rsid w:val="51B055CD"/>
    <w:rsid w:val="51B37897"/>
    <w:rsid w:val="51B60DB1"/>
    <w:rsid w:val="51B7187D"/>
    <w:rsid w:val="51BF052D"/>
    <w:rsid w:val="51BF4576"/>
    <w:rsid w:val="51C209A0"/>
    <w:rsid w:val="51C35CDA"/>
    <w:rsid w:val="51CE6B67"/>
    <w:rsid w:val="51D0797A"/>
    <w:rsid w:val="51D10085"/>
    <w:rsid w:val="51D64E38"/>
    <w:rsid w:val="51E156A5"/>
    <w:rsid w:val="51EF3CEB"/>
    <w:rsid w:val="521012B1"/>
    <w:rsid w:val="521F21E6"/>
    <w:rsid w:val="522A523D"/>
    <w:rsid w:val="52370E7E"/>
    <w:rsid w:val="52410A36"/>
    <w:rsid w:val="52501FB1"/>
    <w:rsid w:val="525B032D"/>
    <w:rsid w:val="52670B9A"/>
    <w:rsid w:val="52695249"/>
    <w:rsid w:val="52733B7B"/>
    <w:rsid w:val="527E103D"/>
    <w:rsid w:val="52827533"/>
    <w:rsid w:val="528C001E"/>
    <w:rsid w:val="52A0776E"/>
    <w:rsid w:val="52B550C6"/>
    <w:rsid w:val="52B60D9C"/>
    <w:rsid w:val="52BC7539"/>
    <w:rsid w:val="52BD5103"/>
    <w:rsid w:val="52CB4228"/>
    <w:rsid w:val="52ED1B92"/>
    <w:rsid w:val="52EF7D98"/>
    <w:rsid w:val="530105A8"/>
    <w:rsid w:val="53154B0A"/>
    <w:rsid w:val="531A65CE"/>
    <w:rsid w:val="53200E9E"/>
    <w:rsid w:val="532B19D7"/>
    <w:rsid w:val="534E3E64"/>
    <w:rsid w:val="53675FCE"/>
    <w:rsid w:val="536A1F51"/>
    <w:rsid w:val="5373353D"/>
    <w:rsid w:val="537E0E1C"/>
    <w:rsid w:val="53820F1E"/>
    <w:rsid w:val="538775EB"/>
    <w:rsid w:val="538C6593"/>
    <w:rsid w:val="53916D88"/>
    <w:rsid w:val="53971FE7"/>
    <w:rsid w:val="53A16F9E"/>
    <w:rsid w:val="53A56DA6"/>
    <w:rsid w:val="53AA6403"/>
    <w:rsid w:val="53AA7213"/>
    <w:rsid w:val="53C74A66"/>
    <w:rsid w:val="53CD33DF"/>
    <w:rsid w:val="53D43483"/>
    <w:rsid w:val="53E53DDE"/>
    <w:rsid w:val="53E53F84"/>
    <w:rsid w:val="53EC14F1"/>
    <w:rsid w:val="53F0159A"/>
    <w:rsid w:val="53FD3AC7"/>
    <w:rsid w:val="53FD7403"/>
    <w:rsid w:val="540A133C"/>
    <w:rsid w:val="540F5916"/>
    <w:rsid w:val="540F6E9A"/>
    <w:rsid w:val="5417057A"/>
    <w:rsid w:val="541C6B23"/>
    <w:rsid w:val="542752E8"/>
    <w:rsid w:val="542F07F1"/>
    <w:rsid w:val="54366FBC"/>
    <w:rsid w:val="54435BAB"/>
    <w:rsid w:val="546329AC"/>
    <w:rsid w:val="546555D6"/>
    <w:rsid w:val="54733483"/>
    <w:rsid w:val="547A2820"/>
    <w:rsid w:val="547E252A"/>
    <w:rsid w:val="54947590"/>
    <w:rsid w:val="54A077AC"/>
    <w:rsid w:val="54A9735F"/>
    <w:rsid w:val="54B07510"/>
    <w:rsid w:val="54B26D47"/>
    <w:rsid w:val="54C04206"/>
    <w:rsid w:val="54C152E5"/>
    <w:rsid w:val="54C76C0F"/>
    <w:rsid w:val="54CB4C5C"/>
    <w:rsid w:val="54DF731B"/>
    <w:rsid w:val="54E0620D"/>
    <w:rsid w:val="54E770E3"/>
    <w:rsid w:val="54E82A64"/>
    <w:rsid w:val="54F1012C"/>
    <w:rsid w:val="5501281D"/>
    <w:rsid w:val="55097A45"/>
    <w:rsid w:val="550F621E"/>
    <w:rsid w:val="55166D20"/>
    <w:rsid w:val="551B6BFE"/>
    <w:rsid w:val="551F7539"/>
    <w:rsid w:val="552B1E69"/>
    <w:rsid w:val="553622DA"/>
    <w:rsid w:val="5539587B"/>
    <w:rsid w:val="553C15D7"/>
    <w:rsid w:val="553E1DD2"/>
    <w:rsid w:val="55406C49"/>
    <w:rsid w:val="55480B96"/>
    <w:rsid w:val="555330D1"/>
    <w:rsid w:val="55697C20"/>
    <w:rsid w:val="5573454A"/>
    <w:rsid w:val="557C6AC4"/>
    <w:rsid w:val="557E6B55"/>
    <w:rsid w:val="558043F6"/>
    <w:rsid w:val="558D5D59"/>
    <w:rsid w:val="559C57A7"/>
    <w:rsid w:val="559D45B2"/>
    <w:rsid w:val="55A459DA"/>
    <w:rsid w:val="55A52655"/>
    <w:rsid w:val="55A80D3D"/>
    <w:rsid w:val="55AF4EA0"/>
    <w:rsid w:val="55BD0819"/>
    <w:rsid w:val="55C20B0B"/>
    <w:rsid w:val="55C63DFD"/>
    <w:rsid w:val="55CE2828"/>
    <w:rsid w:val="55D0515D"/>
    <w:rsid w:val="55D23906"/>
    <w:rsid w:val="55E33927"/>
    <w:rsid w:val="55F515D6"/>
    <w:rsid w:val="55FD16F7"/>
    <w:rsid w:val="560C4038"/>
    <w:rsid w:val="562402D9"/>
    <w:rsid w:val="56292C35"/>
    <w:rsid w:val="56320D71"/>
    <w:rsid w:val="563613B5"/>
    <w:rsid w:val="563D5FF3"/>
    <w:rsid w:val="56646FE4"/>
    <w:rsid w:val="56735280"/>
    <w:rsid w:val="567A5086"/>
    <w:rsid w:val="567D762C"/>
    <w:rsid w:val="56845B98"/>
    <w:rsid w:val="56886C4D"/>
    <w:rsid w:val="568C2420"/>
    <w:rsid w:val="56A15A52"/>
    <w:rsid w:val="56A15AFE"/>
    <w:rsid w:val="56A93D05"/>
    <w:rsid w:val="56B2472F"/>
    <w:rsid w:val="56B41143"/>
    <w:rsid w:val="56B554A1"/>
    <w:rsid w:val="56BA2EE2"/>
    <w:rsid w:val="56CB5CF0"/>
    <w:rsid w:val="56F21569"/>
    <w:rsid w:val="56F753F3"/>
    <w:rsid w:val="56FD3DD4"/>
    <w:rsid w:val="57136687"/>
    <w:rsid w:val="57164AF3"/>
    <w:rsid w:val="571F731E"/>
    <w:rsid w:val="5723359B"/>
    <w:rsid w:val="57286EE3"/>
    <w:rsid w:val="57331F42"/>
    <w:rsid w:val="57362FE1"/>
    <w:rsid w:val="57464328"/>
    <w:rsid w:val="574675A1"/>
    <w:rsid w:val="574D3B34"/>
    <w:rsid w:val="5753419F"/>
    <w:rsid w:val="5754234C"/>
    <w:rsid w:val="575C425A"/>
    <w:rsid w:val="575D341C"/>
    <w:rsid w:val="575D7D1D"/>
    <w:rsid w:val="57607489"/>
    <w:rsid w:val="576C553D"/>
    <w:rsid w:val="5780530E"/>
    <w:rsid w:val="578E0DA3"/>
    <w:rsid w:val="57946D19"/>
    <w:rsid w:val="57951671"/>
    <w:rsid w:val="579C3C34"/>
    <w:rsid w:val="579D7E20"/>
    <w:rsid w:val="57AA2B9C"/>
    <w:rsid w:val="57B6742A"/>
    <w:rsid w:val="57C81651"/>
    <w:rsid w:val="57CA75ED"/>
    <w:rsid w:val="57D359FA"/>
    <w:rsid w:val="57DF0DDA"/>
    <w:rsid w:val="57EF6CE3"/>
    <w:rsid w:val="57F50853"/>
    <w:rsid w:val="57F620A5"/>
    <w:rsid w:val="58042881"/>
    <w:rsid w:val="581671B6"/>
    <w:rsid w:val="581B0805"/>
    <w:rsid w:val="582101FA"/>
    <w:rsid w:val="582209BC"/>
    <w:rsid w:val="583031E0"/>
    <w:rsid w:val="583174FA"/>
    <w:rsid w:val="5836110C"/>
    <w:rsid w:val="583E1877"/>
    <w:rsid w:val="584240BC"/>
    <w:rsid w:val="584254F0"/>
    <w:rsid w:val="58445649"/>
    <w:rsid w:val="584553A9"/>
    <w:rsid w:val="584A51E4"/>
    <w:rsid w:val="5853749C"/>
    <w:rsid w:val="5865162B"/>
    <w:rsid w:val="58686B4E"/>
    <w:rsid w:val="58810917"/>
    <w:rsid w:val="58905D0E"/>
    <w:rsid w:val="589660A5"/>
    <w:rsid w:val="58A00E78"/>
    <w:rsid w:val="58B75530"/>
    <w:rsid w:val="58B8472E"/>
    <w:rsid w:val="58C34596"/>
    <w:rsid w:val="58D26CEC"/>
    <w:rsid w:val="58D51E78"/>
    <w:rsid w:val="58D836EF"/>
    <w:rsid w:val="58DB60FE"/>
    <w:rsid w:val="58F47A07"/>
    <w:rsid w:val="58FF3BE4"/>
    <w:rsid w:val="592D4FCD"/>
    <w:rsid w:val="59430E05"/>
    <w:rsid w:val="59500FC4"/>
    <w:rsid w:val="595747B3"/>
    <w:rsid w:val="597A758E"/>
    <w:rsid w:val="59854279"/>
    <w:rsid w:val="598A6AC2"/>
    <w:rsid w:val="59A744F7"/>
    <w:rsid w:val="59A860C7"/>
    <w:rsid w:val="59AF37C1"/>
    <w:rsid w:val="59B87408"/>
    <w:rsid w:val="59BD3271"/>
    <w:rsid w:val="59CC75B7"/>
    <w:rsid w:val="59D2088E"/>
    <w:rsid w:val="59E103AC"/>
    <w:rsid w:val="59E47682"/>
    <w:rsid w:val="59E52FCA"/>
    <w:rsid w:val="59E9595F"/>
    <w:rsid w:val="59F1448F"/>
    <w:rsid w:val="59F70346"/>
    <w:rsid w:val="59FF3808"/>
    <w:rsid w:val="59FF4D04"/>
    <w:rsid w:val="5A0B79E1"/>
    <w:rsid w:val="5A284315"/>
    <w:rsid w:val="5A3007A2"/>
    <w:rsid w:val="5A4225A2"/>
    <w:rsid w:val="5A4A39BF"/>
    <w:rsid w:val="5A4C0ACC"/>
    <w:rsid w:val="5A56172D"/>
    <w:rsid w:val="5A5A1928"/>
    <w:rsid w:val="5A6A768F"/>
    <w:rsid w:val="5A8029A6"/>
    <w:rsid w:val="5A921499"/>
    <w:rsid w:val="5A9F29F9"/>
    <w:rsid w:val="5AB258D2"/>
    <w:rsid w:val="5ABD5C0B"/>
    <w:rsid w:val="5ABF3058"/>
    <w:rsid w:val="5AC26E9C"/>
    <w:rsid w:val="5AF718E8"/>
    <w:rsid w:val="5B0012F0"/>
    <w:rsid w:val="5B0034FC"/>
    <w:rsid w:val="5B0A594E"/>
    <w:rsid w:val="5B2104A6"/>
    <w:rsid w:val="5B25234E"/>
    <w:rsid w:val="5B284E33"/>
    <w:rsid w:val="5B2A1576"/>
    <w:rsid w:val="5B2C37BF"/>
    <w:rsid w:val="5B3039F9"/>
    <w:rsid w:val="5B341F4E"/>
    <w:rsid w:val="5B351BD1"/>
    <w:rsid w:val="5B433600"/>
    <w:rsid w:val="5B4777C3"/>
    <w:rsid w:val="5B536F81"/>
    <w:rsid w:val="5B612FAF"/>
    <w:rsid w:val="5B740063"/>
    <w:rsid w:val="5B7877C2"/>
    <w:rsid w:val="5B7B0FB2"/>
    <w:rsid w:val="5B9C0FAB"/>
    <w:rsid w:val="5B9C6013"/>
    <w:rsid w:val="5BAC30B4"/>
    <w:rsid w:val="5BAC5ADB"/>
    <w:rsid w:val="5BB34145"/>
    <w:rsid w:val="5BBA40C9"/>
    <w:rsid w:val="5BC45E73"/>
    <w:rsid w:val="5BCC0F89"/>
    <w:rsid w:val="5BD45669"/>
    <w:rsid w:val="5BD5024A"/>
    <w:rsid w:val="5BD834F8"/>
    <w:rsid w:val="5BE76DF7"/>
    <w:rsid w:val="5BE8490A"/>
    <w:rsid w:val="5C034981"/>
    <w:rsid w:val="5C152106"/>
    <w:rsid w:val="5C222FE5"/>
    <w:rsid w:val="5C454727"/>
    <w:rsid w:val="5C47394A"/>
    <w:rsid w:val="5C572733"/>
    <w:rsid w:val="5C602FE3"/>
    <w:rsid w:val="5C6D4B4A"/>
    <w:rsid w:val="5C7D1114"/>
    <w:rsid w:val="5C9969D9"/>
    <w:rsid w:val="5C9D2163"/>
    <w:rsid w:val="5C9F4042"/>
    <w:rsid w:val="5CA30DCE"/>
    <w:rsid w:val="5CB143EC"/>
    <w:rsid w:val="5CD1158A"/>
    <w:rsid w:val="5CDF6A47"/>
    <w:rsid w:val="5CF56B4B"/>
    <w:rsid w:val="5CF665FA"/>
    <w:rsid w:val="5D0B4E48"/>
    <w:rsid w:val="5D127C8C"/>
    <w:rsid w:val="5D141A95"/>
    <w:rsid w:val="5D144B3F"/>
    <w:rsid w:val="5D1574E7"/>
    <w:rsid w:val="5D1D4402"/>
    <w:rsid w:val="5D233262"/>
    <w:rsid w:val="5D277B4D"/>
    <w:rsid w:val="5D372E71"/>
    <w:rsid w:val="5D4671DB"/>
    <w:rsid w:val="5D4B135A"/>
    <w:rsid w:val="5D4D7A2C"/>
    <w:rsid w:val="5D591ABB"/>
    <w:rsid w:val="5D5E26B8"/>
    <w:rsid w:val="5D5F55B1"/>
    <w:rsid w:val="5D664144"/>
    <w:rsid w:val="5D6A5F99"/>
    <w:rsid w:val="5D6C3837"/>
    <w:rsid w:val="5D773500"/>
    <w:rsid w:val="5D7A3A67"/>
    <w:rsid w:val="5D8369B1"/>
    <w:rsid w:val="5DB07315"/>
    <w:rsid w:val="5DCC1C3E"/>
    <w:rsid w:val="5DE6603B"/>
    <w:rsid w:val="5DE70A15"/>
    <w:rsid w:val="5DE759D2"/>
    <w:rsid w:val="5DEC3A82"/>
    <w:rsid w:val="5DF61BCB"/>
    <w:rsid w:val="5DFB66FD"/>
    <w:rsid w:val="5E051D49"/>
    <w:rsid w:val="5E0A1587"/>
    <w:rsid w:val="5E0E7661"/>
    <w:rsid w:val="5E12699F"/>
    <w:rsid w:val="5E2143E0"/>
    <w:rsid w:val="5E384EDF"/>
    <w:rsid w:val="5E3A7A68"/>
    <w:rsid w:val="5E3B40CD"/>
    <w:rsid w:val="5E400BD9"/>
    <w:rsid w:val="5E490F89"/>
    <w:rsid w:val="5E4C7F4C"/>
    <w:rsid w:val="5E4E785E"/>
    <w:rsid w:val="5E58621A"/>
    <w:rsid w:val="5E5B0694"/>
    <w:rsid w:val="5E5C5557"/>
    <w:rsid w:val="5E615D2C"/>
    <w:rsid w:val="5E6767F2"/>
    <w:rsid w:val="5E6C71EA"/>
    <w:rsid w:val="5E766BF6"/>
    <w:rsid w:val="5E772742"/>
    <w:rsid w:val="5E880CAE"/>
    <w:rsid w:val="5E924C09"/>
    <w:rsid w:val="5E9324B4"/>
    <w:rsid w:val="5EA22B72"/>
    <w:rsid w:val="5EAA407B"/>
    <w:rsid w:val="5EB42B21"/>
    <w:rsid w:val="5EB53585"/>
    <w:rsid w:val="5EB64661"/>
    <w:rsid w:val="5EBB5186"/>
    <w:rsid w:val="5EC508FA"/>
    <w:rsid w:val="5ECD0A19"/>
    <w:rsid w:val="5ECF19EF"/>
    <w:rsid w:val="5ECF499E"/>
    <w:rsid w:val="5EDC53C3"/>
    <w:rsid w:val="5EE36D3B"/>
    <w:rsid w:val="5EE56CE8"/>
    <w:rsid w:val="5EEF431A"/>
    <w:rsid w:val="5EFF7BE9"/>
    <w:rsid w:val="5F05285C"/>
    <w:rsid w:val="5F057176"/>
    <w:rsid w:val="5F077048"/>
    <w:rsid w:val="5F1D6218"/>
    <w:rsid w:val="5F240235"/>
    <w:rsid w:val="5F2F5B0C"/>
    <w:rsid w:val="5F6C3561"/>
    <w:rsid w:val="5F705ECA"/>
    <w:rsid w:val="5F794C64"/>
    <w:rsid w:val="5F7C4B34"/>
    <w:rsid w:val="5F8A2847"/>
    <w:rsid w:val="5FA25CF9"/>
    <w:rsid w:val="5FAC5F97"/>
    <w:rsid w:val="5FAD5297"/>
    <w:rsid w:val="5FBA2204"/>
    <w:rsid w:val="5FE66274"/>
    <w:rsid w:val="5FEB063E"/>
    <w:rsid w:val="5FF9576D"/>
    <w:rsid w:val="5FFB3F56"/>
    <w:rsid w:val="600A50C6"/>
    <w:rsid w:val="600E7174"/>
    <w:rsid w:val="60144AC2"/>
    <w:rsid w:val="60154B01"/>
    <w:rsid w:val="601E395A"/>
    <w:rsid w:val="601E5997"/>
    <w:rsid w:val="60334668"/>
    <w:rsid w:val="60372CB6"/>
    <w:rsid w:val="603A36BD"/>
    <w:rsid w:val="603C2140"/>
    <w:rsid w:val="603D5F69"/>
    <w:rsid w:val="60414F9C"/>
    <w:rsid w:val="605836F5"/>
    <w:rsid w:val="605F4438"/>
    <w:rsid w:val="60625B7A"/>
    <w:rsid w:val="607820BF"/>
    <w:rsid w:val="607E4AE0"/>
    <w:rsid w:val="608E7D4F"/>
    <w:rsid w:val="60970AD3"/>
    <w:rsid w:val="60990A44"/>
    <w:rsid w:val="60991EA2"/>
    <w:rsid w:val="609C069E"/>
    <w:rsid w:val="60A71594"/>
    <w:rsid w:val="60A95B08"/>
    <w:rsid w:val="60AA32FB"/>
    <w:rsid w:val="60B95688"/>
    <w:rsid w:val="60BF46DC"/>
    <w:rsid w:val="60C11916"/>
    <w:rsid w:val="60D204D3"/>
    <w:rsid w:val="60D33A33"/>
    <w:rsid w:val="60DC3E6B"/>
    <w:rsid w:val="60DD3C99"/>
    <w:rsid w:val="60EE2A37"/>
    <w:rsid w:val="60F0400D"/>
    <w:rsid w:val="60F74A40"/>
    <w:rsid w:val="61004E7F"/>
    <w:rsid w:val="610B4716"/>
    <w:rsid w:val="610D5A3B"/>
    <w:rsid w:val="61140FD3"/>
    <w:rsid w:val="612E62E0"/>
    <w:rsid w:val="613E1434"/>
    <w:rsid w:val="614044A0"/>
    <w:rsid w:val="614161C7"/>
    <w:rsid w:val="61425352"/>
    <w:rsid w:val="61661560"/>
    <w:rsid w:val="616B54AE"/>
    <w:rsid w:val="616C73A5"/>
    <w:rsid w:val="616E3E1A"/>
    <w:rsid w:val="6173753F"/>
    <w:rsid w:val="617547F6"/>
    <w:rsid w:val="617577C6"/>
    <w:rsid w:val="61857027"/>
    <w:rsid w:val="61964255"/>
    <w:rsid w:val="61985DDC"/>
    <w:rsid w:val="619A7732"/>
    <w:rsid w:val="619B2273"/>
    <w:rsid w:val="619E2754"/>
    <w:rsid w:val="61A2785A"/>
    <w:rsid w:val="61A37372"/>
    <w:rsid w:val="61AA2BDB"/>
    <w:rsid w:val="61AB452C"/>
    <w:rsid w:val="61BA76A7"/>
    <w:rsid w:val="61C42BB9"/>
    <w:rsid w:val="61CD422A"/>
    <w:rsid w:val="61D5627C"/>
    <w:rsid w:val="61DE5D57"/>
    <w:rsid w:val="61F27965"/>
    <w:rsid w:val="61FA49FF"/>
    <w:rsid w:val="61FA6C88"/>
    <w:rsid w:val="620253A7"/>
    <w:rsid w:val="62067E37"/>
    <w:rsid w:val="620B7650"/>
    <w:rsid w:val="62194D15"/>
    <w:rsid w:val="621E161A"/>
    <w:rsid w:val="62231BF4"/>
    <w:rsid w:val="62273318"/>
    <w:rsid w:val="622E67FC"/>
    <w:rsid w:val="62391521"/>
    <w:rsid w:val="623E03FE"/>
    <w:rsid w:val="62432295"/>
    <w:rsid w:val="62437703"/>
    <w:rsid w:val="624D09D5"/>
    <w:rsid w:val="62525C4D"/>
    <w:rsid w:val="625D66A8"/>
    <w:rsid w:val="625F6A4A"/>
    <w:rsid w:val="62633C78"/>
    <w:rsid w:val="62642066"/>
    <w:rsid w:val="62685AD8"/>
    <w:rsid w:val="626F64F3"/>
    <w:rsid w:val="62745CA7"/>
    <w:rsid w:val="6277282C"/>
    <w:rsid w:val="6277503F"/>
    <w:rsid w:val="627A3D39"/>
    <w:rsid w:val="62823DF4"/>
    <w:rsid w:val="62A97361"/>
    <w:rsid w:val="62B044F3"/>
    <w:rsid w:val="62D315B0"/>
    <w:rsid w:val="62DE1786"/>
    <w:rsid w:val="62DF5B25"/>
    <w:rsid w:val="62F95800"/>
    <w:rsid w:val="62FE6D90"/>
    <w:rsid w:val="630806AD"/>
    <w:rsid w:val="63087635"/>
    <w:rsid w:val="631A27D3"/>
    <w:rsid w:val="631B1AFA"/>
    <w:rsid w:val="632255C5"/>
    <w:rsid w:val="63376B1A"/>
    <w:rsid w:val="63443EAC"/>
    <w:rsid w:val="634D2B20"/>
    <w:rsid w:val="634F7F21"/>
    <w:rsid w:val="63507466"/>
    <w:rsid w:val="635636B1"/>
    <w:rsid w:val="63595483"/>
    <w:rsid w:val="636743BB"/>
    <w:rsid w:val="637A5FD5"/>
    <w:rsid w:val="63AA6DE4"/>
    <w:rsid w:val="63AF1714"/>
    <w:rsid w:val="63CD111A"/>
    <w:rsid w:val="63CD3863"/>
    <w:rsid w:val="63D5515C"/>
    <w:rsid w:val="63D86140"/>
    <w:rsid w:val="63E26881"/>
    <w:rsid w:val="63E32F45"/>
    <w:rsid w:val="63E43DBC"/>
    <w:rsid w:val="63EE25B8"/>
    <w:rsid w:val="63EE4C05"/>
    <w:rsid w:val="63F27E4F"/>
    <w:rsid w:val="63F35969"/>
    <w:rsid w:val="64017D91"/>
    <w:rsid w:val="6402386B"/>
    <w:rsid w:val="6402677E"/>
    <w:rsid w:val="641150E5"/>
    <w:rsid w:val="643B46C0"/>
    <w:rsid w:val="643D4191"/>
    <w:rsid w:val="64533ED7"/>
    <w:rsid w:val="645C4C99"/>
    <w:rsid w:val="64660B58"/>
    <w:rsid w:val="64771340"/>
    <w:rsid w:val="64801531"/>
    <w:rsid w:val="64824242"/>
    <w:rsid w:val="64852876"/>
    <w:rsid w:val="64987A47"/>
    <w:rsid w:val="649E73D6"/>
    <w:rsid w:val="64A81846"/>
    <w:rsid w:val="64AF38BD"/>
    <w:rsid w:val="64B10DCF"/>
    <w:rsid w:val="64C30B68"/>
    <w:rsid w:val="64C4505C"/>
    <w:rsid w:val="64C8616D"/>
    <w:rsid w:val="64D800C2"/>
    <w:rsid w:val="64E269BA"/>
    <w:rsid w:val="64F2680D"/>
    <w:rsid w:val="64F6247A"/>
    <w:rsid w:val="650A7E48"/>
    <w:rsid w:val="65186501"/>
    <w:rsid w:val="65324A7A"/>
    <w:rsid w:val="65395049"/>
    <w:rsid w:val="653E49A7"/>
    <w:rsid w:val="654253FE"/>
    <w:rsid w:val="65662000"/>
    <w:rsid w:val="65706AE7"/>
    <w:rsid w:val="65767AC3"/>
    <w:rsid w:val="6586168C"/>
    <w:rsid w:val="65A01582"/>
    <w:rsid w:val="65AE3F26"/>
    <w:rsid w:val="65BA6618"/>
    <w:rsid w:val="65C56227"/>
    <w:rsid w:val="65D71859"/>
    <w:rsid w:val="65E06C4B"/>
    <w:rsid w:val="65E313FA"/>
    <w:rsid w:val="65E444EB"/>
    <w:rsid w:val="65E51742"/>
    <w:rsid w:val="65F73B78"/>
    <w:rsid w:val="65F91557"/>
    <w:rsid w:val="660B1FCE"/>
    <w:rsid w:val="661D2253"/>
    <w:rsid w:val="662539DA"/>
    <w:rsid w:val="662A0670"/>
    <w:rsid w:val="662E07DF"/>
    <w:rsid w:val="66332FC3"/>
    <w:rsid w:val="66357FE3"/>
    <w:rsid w:val="66466272"/>
    <w:rsid w:val="66594A8E"/>
    <w:rsid w:val="66743284"/>
    <w:rsid w:val="66757945"/>
    <w:rsid w:val="667966DA"/>
    <w:rsid w:val="668E2789"/>
    <w:rsid w:val="66A6297E"/>
    <w:rsid w:val="66A71809"/>
    <w:rsid w:val="66B234F0"/>
    <w:rsid w:val="66BA13C5"/>
    <w:rsid w:val="66C21D79"/>
    <w:rsid w:val="66C25DD6"/>
    <w:rsid w:val="66C75E97"/>
    <w:rsid w:val="66CF6BD9"/>
    <w:rsid w:val="66DF310D"/>
    <w:rsid w:val="66E71BBF"/>
    <w:rsid w:val="67021254"/>
    <w:rsid w:val="670C4FEE"/>
    <w:rsid w:val="671004FA"/>
    <w:rsid w:val="671509DA"/>
    <w:rsid w:val="67172509"/>
    <w:rsid w:val="6733400C"/>
    <w:rsid w:val="673651B3"/>
    <w:rsid w:val="674166F7"/>
    <w:rsid w:val="6760164F"/>
    <w:rsid w:val="677010BE"/>
    <w:rsid w:val="678252E6"/>
    <w:rsid w:val="67825770"/>
    <w:rsid w:val="678B5EE2"/>
    <w:rsid w:val="679B57CA"/>
    <w:rsid w:val="679D1C8E"/>
    <w:rsid w:val="67A87073"/>
    <w:rsid w:val="67A87AB4"/>
    <w:rsid w:val="67BD2329"/>
    <w:rsid w:val="67DC6988"/>
    <w:rsid w:val="67E710A5"/>
    <w:rsid w:val="67EC4113"/>
    <w:rsid w:val="67ED4DBC"/>
    <w:rsid w:val="67F0623F"/>
    <w:rsid w:val="67F06B13"/>
    <w:rsid w:val="6807085A"/>
    <w:rsid w:val="680826E1"/>
    <w:rsid w:val="680B0F5A"/>
    <w:rsid w:val="68171750"/>
    <w:rsid w:val="682370EA"/>
    <w:rsid w:val="682C34F2"/>
    <w:rsid w:val="683D436A"/>
    <w:rsid w:val="683F5F06"/>
    <w:rsid w:val="68474A83"/>
    <w:rsid w:val="684A4529"/>
    <w:rsid w:val="684E5407"/>
    <w:rsid w:val="685B03FE"/>
    <w:rsid w:val="685F7E60"/>
    <w:rsid w:val="68754E37"/>
    <w:rsid w:val="6877158D"/>
    <w:rsid w:val="687A4392"/>
    <w:rsid w:val="68832D06"/>
    <w:rsid w:val="688E6293"/>
    <w:rsid w:val="68A86CDE"/>
    <w:rsid w:val="68AA3558"/>
    <w:rsid w:val="68B17199"/>
    <w:rsid w:val="68BA4771"/>
    <w:rsid w:val="68BD3FA4"/>
    <w:rsid w:val="68CC1E1C"/>
    <w:rsid w:val="68D938B4"/>
    <w:rsid w:val="68DD3114"/>
    <w:rsid w:val="68E74967"/>
    <w:rsid w:val="68F95796"/>
    <w:rsid w:val="68FC31E3"/>
    <w:rsid w:val="690205DB"/>
    <w:rsid w:val="690F758C"/>
    <w:rsid w:val="69172A9F"/>
    <w:rsid w:val="69175CE7"/>
    <w:rsid w:val="692B7BF2"/>
    <w:rsid w:val="69370E66"/>
    <w:rsid w:val="693F7B1B"/>
    <w:rsid w:val="694346C2"/>
    <w:rsid w:val="69471641"/>
    <w:rsid w:val="694F4F6D"/>
    <w:rsid w:val="69552E39"/>
    <w:rsid w:val="695939CC"/>
    <w:rsid w:val="696443E9"/>
    <w:rsid w:val="69684559"/>
    <w:rsid w:val="696B7405"/>
    <w:rsid w:val="696D14DB"/>
    <w:rsid w:val="697B7188"/>
    <w:rsid w:val="698434EA"/>
    <w:rsid w:val="6986481C"/>
    <w:rsid w:val="69A275DD"/>
    <w:rsid w:val="69A64C5C"/>
    <w:rsid w:val="69A654AD"/>
    <w:rsid w:val="69BC5E3F"/>
    <w:rsid w:val="69CE72DF"/>
    <w:rsid w:val="69DC3AA7"/>
    <w:rsid w:val="69E56D82"/>
    <w:rsid w:val="6A023AAD"/>
    <w:rsid w:val="6A121CD2"/>
    <w:rsid w:val="6A1B643F"/>
    <w:rsid w:val="6A1C120D"/>
    <w:rsid w:val="6A1D3980"/>
    <w:rsid w:val="6A2153F6"/>
    <w:rsid w:val="6A2F40B7"/>
    <w:rsid w:val="6A344B87"/>
    <w:rsid w:val="6A393851"/>
    <w:rsid w:val="6A3F0F5F"/>
    <w:rsid w:val="6A46546E"/>
    <w:rsid w:val="6A707D60"/>
    <w:rsid w:val="6A7829EC"/>
    <w:rsid w:val="6A8B2107"/>
    <w:rsid w:val="6A963BD8"/>
    <w:rsid w:val="6AB97420"/>
    <w:rsid w:val="6ABA6809"/>
    <w:rsid w:val="6AC56769"/>
    <w:rsid w:val="6AD136FA"/>
    <w:rsid w:val="6AF7280A"/>
    <w:rsid w:val="6AFC5AAE"/>
    <w:rsid w:val="6AFE219A"/>
    <w:rsid w:val="6B02171F"/>
    <w:rsid w:val="6B0659CB"/>
    <w:rsid w:val="6B09580B"/>
    <w:rsid w:val="6B0C78D2"/>
    <w:rsid w:val="6B0E31FD"/>
    <w:rsid w:val="6B0F6219"/>
    <w:rsid w:val="6B226904"/>
    <w:rsid w:val="6B3D04C8"/>
    <w:rsid w:val="6B4E6B6D"/>
    <w:rsid w:val="6B533AF5"/>
    <w:rsid w:val="6B5661E2"/>
    <w:rsid w:val="6B570828"/>
    <w:rsid w:val="6B810C64"/>
    <w:rsid w:val="6B84702C"/>
    <w:rsid w:val="6BAC28B2"/>
    <w:rsid w:val="6BAD4CD3"/>
    <w:rsid w:val="6BC019B6"/>
    <w:rsid w:val="6BC27914"/>
    <w:rsid w:val="6BC958F3"/>
    <w:rsid w:val="6BCA5E3A"/>
    <w:rsid w:val="6BD17F2B"/>
    <w:rsid w:val="6BD729AA"/>
    <w:rsid w:val="6BD971D8"/>
    <w:rsid w:val="6BDE1ECC"/>
    <w:rsid w:val="6BF5006C"/>
    <w:rsid w:val="6BFC15A8"/>
    <w:rsid w:val="6C01780A"/>
    <w:rsid w:val="6C053AD4"/>
    <w:rsid w:val="6C100F7E"/>
    <w:rsid w:val="6C1816F2"/>
    <w:rsid w:val="6C181CEC"/>
    <w:rsid w:val="6C185A7D"/>
    <w:rsid w:val="6C1860C0"/>
    <w:rsid w:val="6C1C425E"/>
    <w:rsid w:val="6C1E47F2"/>
    <w:rsid w:val="6C4C50E5"/>
    <w:rsid w:val="6C502D5E"/>
    <w:rsid w:val="6C523F43"/>
    <w:rsid w:val="6C547497"/>
    <w:rsid w:val="6C5A655E"/>
    <w:rsid w:val="6C5C2D33"/>
    <w:rsid w:val="6C5E6855"/>
    <w:rsid w:val="6C7114CE"/>
    <w:rsid w:val="6C747093"/>
    <w:rsid w:val="6C904329"/>
    <w:rsid w:val="6C932547"/>
    <w:rsid w:val="6CA5607C"/>
    <w:rsid w:val="6CA60320"/>
    <w:rsid w:val="6CA92BF6"/>
    <w:rsid w:val="6CAB251A"/>
    <w:rsid w:val="6CAE2969"/>
    <w:rsid w:val="6CCF2B8E"/>
    <w:rsid w:val="6CD76D76"/>
    <w:rsid w:val="6CD904B5"/>
    <w:rsid w:val="6CDA1E82"/>
    <w:rsid w:val="6CDA65B0"/>
    <w:rsid w:val="6D1114AF"/>
    <w:rsid w:val="6D1F3FE2"/>
    <w:rsid w:val="6D200FB1"/>
    <w:rsid w:val="6D2E381C"/>
    <w:rsid w:val="6D317662"/>
    <w:rsid w:val="6D363A5F"/>
    <w:rsid w:val="6D6371D6"/>
    <w:rsid w:val="6D6A52A8"/>
    <w:rsid w:val="6D6C29D9"/>
    <w:rsid w:val="6D78771E"/>
    <w:rsid w:val="6D7B0674"/>
    <w:rsid w:val="6D92002B"/>
    <w:rsid w:val="6D932C37"/>
    <w:rsid w:val="6D972C51"/>
    <w:rsid w:val="6DA1478C"/>
    <w:rsid w:val="6DB65AC5"/>
    <w:rsid w:val="6DBF04EA"/>
    <w:rsid w:val="6DC645C3"/>
    <w:rsid w:val="6DCF50D4"/>
    <w:rsid w:val="6DD86720"/>
    <w:rsid w:val="6DE338A5"/>
    <w:rsid w:val="6DE51235"/>
    <w:rsid w:val="6DEA7DFD"/>
    <w:rsid w:val="6DEB3C74"/>
    <w:rsid w:val="6E002144"/>
    <w:rsid w:val="6E03193D"/>
    <w:rsid w:val="6E074041"/>
    <w:rsid w:val="6E0F4075"/>
    <w:rsid w:val="6E1C0D87"/>
    <w:rsid w:val="6E1C22D9"/>
    <w:rsid w:val="6E270725"/>
    <w:rsid w:val="6E32017C"/>
    <w:rsid w:val="6E324C29"/>
    <w:rsid w:val="6E3964A7"/>
    <w:rsid w:val="6E3C2201"/>
    <w:rsid w:val="6E3E4687"/>
    <w:rsid w:val="6E4C5F5C"/>
    <w:rsid w:val="6E58457C"/>
    <w:rsid w:val="6E621DD0"/>
    <w:rsid w:val="6E781E73"/>
    <w:rsid w:val="6E784DDE"/>
    <w:rsid w:val="6E7B0D1A"/>
    <w:rsid w:val="6E8A587B"/>
    <w:rsid w:val="6E8D4BFA"/>
    <w:rsid w:val="6E8E27C4"/>
    <w:rsid w:val="6E93154E"/>
    <w:rsid w:val="6EA00001"/>
    <w:rsid w:val="6EAF40E9"/>
    <w:rsid w:val="6EBF43F6"/>
    <w:rsid w:val="6EC855FC"/>
    <w:rsid w:val="6ED717A6"/>
    <w:rsid w:val="6ED87920"/>
    <w:rsid w:val="6EDB6F96"/>
    <w:rsid w:val="6EEC2BD8"/>
    <w:rsid w:val="6EF30AED"/>
    <w:rsid w:val="6F24614C"/>
    <w:rsid w:val="6F2B7629"/>
    <w:rsid w:val="6F303328"/>
    <w:rsid w:val="6F303714"/>
    <w:rsid w:val="6F3606B1"/>
    <w:rsid w:val="6F3C3A7B"/>
    <w:rsid w:val="6F4B257E"/>
    <w:rsid w:val="6F514127"/>
    <w:rsid w:val="6F5A6591"/>
    <w:rsid w:val="6F6D2068"/>
    <w:rsid w:val="6F7226E7"/>
    <w:rsid w:val="6F755AC9"/>
    <w:rsid w:val="6F770AEB"/>
    <w:rsid w:val="6F7B6CE0"/>
    <w:rsid w:val="6F87228F"/>
    <w:rsid w:val="6F8725EE"/>
    <w:rsid w:val="6F885725"/>
    <w:rsid w:val="6F8E2C14"/>
    <w:rsid w:val="6F926B76"/>
    <w:rsid w:val="6F972CE5"/>
    <w:rsid w:val="6F9A2FA9"/>
    <w:rsid w:val="6F9F7543"/>
    <w:rsid w:val="6FAD2877"/>
    <w:rsid w:val="6FB74E29"/>
    <w:rsid w:val="6FBB1C08"/>
    <w:rsid w:val="6FCA664E"/>
    <w:rsid w:val="6FDA08B6"/>
    <w:rsid w:val="6FE15E98"/>
    <w:rsid w:val="6FF80C44"/>
    <w:rsid w:val="6FFD59B2"/>
    <w:rsid w:val="70065C2F"/>
    <w:rsid w:val="700A54BD"/>
    <w:rsid w:val="701649E1"/>
    <w:rsid w:val="70261165"/>
    <w:rsid w:val="702C3C12"/>
    <w:rsid w:val="703B37D1"/>
    <w:rsid w:val="70444009"/>
    <w:rsid w:val="70446F32"/>
    <w:rsid w:val="704A0A7D"/>
    <w:rsid w:val="704F01F0"/>
    <w:rsid w:val="705320DD"/>
    <w:rsid w:val="70597B80"/>
    <w:rsid w:val="705D7531"/>
    <w:rsid w:val="7060617E"/>
    <w:rsid w:val="706116CA"/>
    <w:rsid w:val="706E0C85"/>
    <w:rsid w:val="7079434A"/>
    <w:rsid w:val="70815F52"/>
    <w:rsid w:val="708E641C"/>
    <w:rsid w:val="70923145"/>
    <w:rsid w:val="709471F3"/>
    <w:rsid w:val="70A91220"/>
    <w:rsid w:val="70AA1F87"/>
    <w:rsid w:val="70BB334C"/>
    <w:rsid w:val="70CF7F44"/>
    <w:rsid w:val="70D82D98"/>
    <w:rsid w:val="70E06F4C"/>
    <w:rsid w:val="70E22DD3"/>
    <w:rsid w:val="70E32165"/>
    <w:rsid w:val="70E72081"/>
    <w:rsid w:val="70F83F89"/>
    <w:rsid w:val="711216BE"/>
    <w:rsid w:val="71194835"/>
    <w:rsid w:val="711B5881"/>
    <w:rsid w:val="71210FD6"/>
    <w:rsid w:val="71235AE9"/>
    <w:rsid w:val="712D4710"/>
    <w:rsid w:val="713D23C9"/>
    <w:rsid w:val="7147712A"/>
    <w:rsid w:val="714E6A82"/>
    <w:rsid w:val="71503030"/>
    <w:rsid w:val="71543EDF"/>
    <w:rsid w:val="71574E06"/>
    <w:rsid w:val="71654B05"/>
    <w:rsid w:val="71692BD2"/>
    <w:rsid w:val="71714B9D"/>
    <w:rsid w:val="7176117F"/>
    <w:rsid w:val="71891D3C"/>
    <w:rsid w:val="718E2B81"/>
    <w:rsid w:val="71934C0B"/>
    <w:rsid w:val="719548E0"/>
    <w:rsid w:val="71967C57"/>
    <w:rsid w:val="719B547F"/>
    <w:rsid w:val="71A52C17"/>
    <w:rsid w:val="71AF09EA"/>
    <w:rsid w:val="71B7257E"/>
    <w:rsid w:val="71B90B62"/>
    <w:rsid w:val="71CC3893"/>
    <w:rsid w:val="71D45F35"/>
    <w:rsid w:val="71DA21DD"/>
    <w:rsid w:val="71DE63C2"/>
    <w:rsid w:val="71F03D47"/>
    <w:rsid w:val="71F64888"/>
    <w:rsid w:val="71FE297E"/>
    <w:rsid w:val="72032C71"/>
    <w:rsid w:val="720B1914"/>
    <w:rsid w:val="720D0C26"/>
    <w:rsid w:val="721E03BA"/>
    <w:rsid w:val="722E174E"/>
    <w:rsid w:val="7244700D"/>
    <w:rsid w:val="724C636E"/>
    <w:rsid w:val="724F31BB"/>
    <w:rsid w:val="725D7677"/>
    <w:rsid w:val="726048A4"/>
    <w:rsid w:val="726B3CD5"/>
    <w:rsid w:val="726D1493"/>
    <w:rsid w:val="7282577D"/>
    <w:rsid w:val="728407E0"/>
    <w:rsid w:val="728E5B91"/>
    <w:rsid w:val="72982246"/>
    <w:rsid w:val="729927F2"/>
    <w:rsid w:val="729B14CC"/>
    <w:rsid w:val="729C74C6"/>
    <w:rsid w:val="729D590A"/>
    <w:rsid w:val="72A31F9F"/>
    <w:rsid w:val="72B34643"/>
    <w:rsid w:val="72C1173D"/>
    <w:rsid w:val="72CC5574"/>
    <w:rsid w:val="72EF77F4"/>
    <w:rsid w:val="72F71902"/>
    <w:rsid w:val="72FD6D02"/>
    <w:rsid w:val="73045ACA"/>
    <w:rsid w:val="730706BE"/>
    <w:rsid w:val="730A1868"/>
    <w:rsid w:val="730C340F"/>
    <w:rsid w:val="731B6322"/>
    <w:rsid w:val="73254A01"/>
    <w:rsid w:val="732D3615"/>
    <w:rsid w:val="732E0D91"/>
    <w:rsid w:val="73452FAC"/>
    <w:rsid w:val="734C46A3"/>
    <w:rsid w:val="734D1684"/>
    <w:rsid w:val="734D7B9C"/>
    <w:rsid w:val="735643B4"/>
    <w:rsid w:val="736C5345"/>
    <w:rsid w:val="73710FC2"/>
    <w:rsid w:val="73823CD3"/>
    <w:rsid w:val="73853277"/>
    <w:rsid w:val="73875236"/>
    <w:rsid w:val="739057FC"/>
    <w:rsid w:val="73945309"/>
    <w:rsid w:val="739E3E15"/>
    <w:rsid w:val="73B3400D"/>
    <w:rsid w:val="73C23333"/>
    <w:rsid w:val="73CA70A7"/>
    <w:rsid w:val="73D61E64"/>
    <w:rsid w:val="73E956B8"/>
    <w:rsid w:val="73EC6CDE"/>
    <w:rsid w:val="73F70E98"/>
    <w:rsid w:val="73FC3EBB"/>
    <w:rsid w:val="73FD59C8"/>
    <w:rsid w:val="7401264C"/>
    <w:rsid w:val="74036995"/>
    <w:rsid w:val="740448F8"/>
    <w:rsid w:val="740D1E68"/>
    <w:rsid w:val="741E3A73"/>
    <w:rsid w:val="741F6578"/>
    <w:rsid w:val="74242F76"/>
    <w:rsid w:val="743E2067"/>
    <w:rsid w:val="743E39CA"/>
    <w:rsid w:val="744E0F9C"/>
    <w:rsid w:val="7459715C"/>
    <w:rsid w:val="74657128"/>
    <w:rsid w:val="746D48B3"/>
    <w:rsid w:val="746E4B5C"/>
    <w:rsid w:val="746F5FCC"/>
    <w:rsid w:val="747316F3"/>
    <w:rsid w:val="74732FD4"/>
    <w:rsid w:val="74790D67"/>
    <w:rsid w:val="7489655F"/>
    <w:rsid w:val="748E4361"/>
    <w:rsid w:val="74922CBD"/>
    <w:rsid w:val="74B24556"/>
    <w:rsid w:val="74B50DD6"/>
    <w:rsid w:val="74BF533B"/>
    <w:rsid w:val="74C54F90"/>
    <w:rsid w:val="74E62B70"/>
    <w:rsid w:val="74E800F7"/>
    <w:rsid w:val="74F94AC8"/>
    <w:rsid w:val="74F96073"/>
    <w:rsid w:val="74FD1DD0"/>
    <w:rsid w:val="752052CF"/>
    <w:rsid w:val="752A189F"/>
    <w:rsid w:val="752B5935"/>
    <w:rsid w:val="75407666"/>
    <w:rsid w:val="754148D2"/>
    <w:rsid w:val="75466207"/>
    <w:rsid w:val="754B440E"/>
    <w:rsid w:val="754D02E3"/>
    <w:rsid w:val="7556718C"/>
    <w:rsid w:val="75685E9C"/>
    <w:rsid w:val="75804156"/>
    <w:rsid w:val="7585729B"/>
    <w:rsid w:val="75A17D85"/>
    <w:rsid w:val="75A400F5"/>
    <w:rsid w:val="75AF4E5A"/>
    <w:rsid w:val="75C476F1"/>
    <w:rsid w:val="75C7338F"/>
    <w:rsid w:val="75C86CDE"/>
    <w:rsid w:val="75D17D39"/>
    <w:rsid w:val="75D66155"/>
    <w:rsid w:val="75D73BA2"/>
    <w:rsid w:val="75E72A86"/>
    <w:rsid w:val="75E75613"/>
    <w:rsid w:val="75F06F59"/>
    <w:rsid w:val="75F846C0"/>
    <w:rsid w:val="75FA23BA"/>
    <w:rsid w:val="75FD51CB"/>
    <w:rsid w:val="76014496"/>
    <w:rsid w:val="762E2823"/>
    <w:rsid w:val="76324427"/>
    <w:rsid w:val="76331CF9"/>
    <w:rsid w:val="76345168"/>
    <w:rsid w:val="76352DBF"/>
    <w:rsid w:val="763A7F07"/>
    <w:rsid w:val="763C0B24"/>
    <w:rsid w:val="763C7C78"/>
    <w:rsid w:val="764007AC"/>
    <w:rsid w:val="76434F11"/>
    <w:rsid w:val="764A7FAE"/>
    <w:rsid w:val="765225DF"/>
    <w:rsid w:val="765C7F8E"/>
    <w:rsid w:val="7660085E"/>
    <w:rsid w:val="76643C0E"/>
    <w:rsid w:val="767622BD"/>
    <w:rsid w:val="7676724E"/>
    <w:rsid w:val="76794947"/>
    <w:rsid w:val="767C4A37"/>
    <w:rsid w:val="767F7E1A"/>
    <w:rsid w:val="768B27D4"/>
    <w:rsid w:val="76946979"/>
    <w:rsid w:val="76BF372F"/>
    <w:rsid w:val="76CB4071"/>
    <w:rsid w:val="76DC021E"/>
    <w:rsid w:val="76F43558"/>
    <w:rsid w:val="76F67D59"/>
    <w:rsid w:val="770D3CB0"/>
    <w:rsid w:val="77156C37"/>
    <w:rsid w:val="7721004B"/>
    <w:rsid w:val="77364F82"/>
    <w:rsid w:val="773C7786"/>
    <w:rsid w:val="773D7662"/>
    <w:rsid w:val="77524FC2"/>
    <w:rsid w:val="775D5AA3"/>
    <w:rsid w:val="776667B9"/>
    <w:rsid w:val="77713098"/>
    <w:rsid w:val="7773025E"/>
    <w:rsid w:val="778372B3"/>
    <w:rsid w:val="779A52AA"/>
    <w:rsid w:val="779C7DDB"/>
    <w:rsid w:val="779D6D0C"/>
    <w:rsid w:val="779F34CE"/>
    <w:rsid w:val="779F5610"/>
    <w:rsid w:val="77A03E04"/>
    <w:rsid w:val="77B44B3C"/>
    <w:rsid w:val="77B51A91"/>
    <w:rsid w:val="77B83225"/>
    <w:rsid w:val="77BE604C"/>
    <w:rsid w:val="77CA25F0"/>
    <w:rsid w:val="77CB1973"/>
    <w:rsid w:val="77CD7B30"/>
    <w:rsid w:val="77D30337"/>
    <w:rsid w:val="77DB7E7A"/>
    <w:rsid w:val="77E26933"/>
    <w:rsid w:val="77E35876"/>
    <w:rsid w:val="77ED501D"/>
    <w:rsid w:val="77F50629"/>
    <w:rsid w:val="78047FF1"/>
    <w:rsid w:val="78173562"/>
    <w:rsid w:val="78187D57"/>
    <w:rsid w:val="782526EE"/>
    <w:rsid w:val="78392B8C"/>
    <w:rsid w:val="783A0D70"/>
    <w:rsid w:val="78496B5D"/>
    <w:rsid w:val="784B0AF8"/>
    <w:rsid w:val="784F36A2"/>
    <w:rsid w:val="786578C5"/>
    <w:rsid w:val="787A6C34"/>
    <w:rsid w:val="78810ED4"/>
    <w:rsid w:val="78870B9E"/>
    <w:rsid w:val="788C1E32"/>
    <w:rsid w:val="78941AB6"/>
    <w:rsid w:val="78953A19"/>
    <w:rsid w:val="789B12F5"/>
    <w:rsid w:val="78AE5112"/>
    <w:rsid w:val="78B21085"/>
    <w:rsid w:val="78B22875"/>
    <w:rsid w:val="78B67574"/>
    <w:rsid w:val="78C17FB0"/>
    <w:rsid w:val="78C9573F"/>
    <w:rsid w:val="78CC3550"/>
    <w:rsid w:val="78CE6ED4"/>
    <w:rsid w:val="78D23E58"/>
    <w:rsid w:val="78DD47FE"/>
    <w:rsid w:val="78EC7E3A"/>
    <w:rsid w:val="78EE1928"/>
    <w:rsid w:val="78FB2852"/>
    <w:rsid w:val="790367A7"/>
    <w:rsid w:val="79083D79"/>
    <w:rsid w:val="790B7607"/>
    <w:rsid w:val="791107A0"/>
    <w:rsid w:val="7913362F"/>
    <w:rsid w:val="791B5E1F"/>
    <w:rsid w:val="791D0089"/>
    <w:rsid w:val="791F20FD"/>
    <w:rsid w:val="7926731F"/>
    <w:rsid w:val="792A39CA"/>
    <w:rsid w:val="792B5790"/>
    <w:rsid w:val="7935542F"/>
    <w:rsid w:val="7939087C"/>
    <w:rsid w:val="79451BE5"/>
    <w:rsid w:val="7946187A"/>
    <w:rsid w:val="79507A50"/>
    <w:rsid w:val="79563617"/>
    <w:rsid w:val="795E66B5"/>
    <w:rsid w:val="7966258E"/>
    <w:rsid w:val="79756F88"/>
    <w:rsid w:val="79765009"/>
    <w:rsid w:val="797C4DEC"/>
    <w:rsid w:val="797E521A"/>
    <w:rsid w:val="79835117"/>
    <w:rsid w:val="799321E8"/>
    <w:rsid w:val="799A7CB7"/>
    <w:rsid w:val="79B031F0"/>
    <w:rsid w:val="79B110A7"/>
    <w:rsid w:val="79B43C5E"/>
    <w:rsid w:val="79C74173"/>
    <w:rsid w:val="79DD3423"/>
    <w:rsid w:val="79DF739B"/>
    <w:rsid w:val="79E258AB"/>
    <w:rsid w:val="79F04A36"/>
    <w:rsid w:val="7A0469E8"/>
    <w:rsid w:val="7A0750DF"/>
    <w:rsid w:val="7A092FD8"/>
    <w:rsid w:val="7A0F3150"/>
    <w:rsid w:val="7A123851"/>
    <w:rsid w:val="7A2329EC"/>
    <w:rsid w:val="7A286946"/>
    <w:rsid w:val="7A3C219B"/>
    <w:rsid w:val="7A654734"/>
    <w:rsid w:val="7A695B4A"/>
    <w:rsid w:val="7A6B6727"/>
    <w:rsid w:val="7A8B5CE9"/>
    <w:rsid w:val="7A9F6536"/>
    <w:rsid w:val="7AAD12CD"/>
    <w:rsid w:val="7AAD24A1"/>
    <w:rsid w:val="7AAF3725"/>
    <w:rsid w:val="7AB10A50"/>
    <w:rsid w:val="7AB215F3"/>
    <w:rsid w:val="7AB37BD2"/>
    <w:rsid w:val="7AC00C1C"/>
    <w:rsid w:val="7AC017A9"/>
    <w:rsid w:val="7AC86559"/>
    <w:rsid w:val="7AD84664"/>
    <w:rsid w:val="7AF15275"/>
    <w:rsid w:val="7B001259"/>
    <w:rsid w:val="7B004FFF"/>
    <w:rsid w:val="7B0E6189"/>
    <w:rsid w:val="7B11033E"/>
    <w:rsid w:val="7B21385C"/>
    <w:rsid w:val="7B2737D6"/>
    <w:rsid w:val="7B3601E4"/>
    <w:rsid w:val="7B3663E4"/>
    <w:rsid w:val="7B372BFC"/>
    <w:rsid w:val="7B434EF6"/>
    <w:rsid w:val="7B487149"/>
    <w:rsid w:val="7B4E6B27"/>
    <w:rsid w:val="7B693A72"/>
    <w:rsid w:val="7B8117B7"/>
    <w:rsid w:val="7B923214"/>
    <w:rsid w:val="7B932283"/>
    <w:rsid w:val="7BB54195"/>
    <w:rsid w:val="7BBC3652"/>
    <w:rsid w:val="7BBF3B99"/>
    <w:rsid w:val="7BC5196C"/>
    <w:rsid w:val="7BC811F5"/>
    <w:rsid w:val="7BCF75EB"/>
    <w:rsid w:val="7BD616FE"/>
    <w:rsid w:val="7BD65D90"/>
    <w:rsid w:val="7BFB084B"/>
    <w:rsid w:val="7BFF7483"/>
    <w:rsid w:val="7C00527B"/>
    <w:rsid w:val="7C086859"/>
    <w:rsid w:val="7C137CED"/>
    <w:rsid w:val="7C175088"/>
    <w:rsid w:val="7C191AE8"/>
    <w:rsid w:val="7C1C573C"/>
    <w:rsid w:val="7C1F1770"/>
    <w:rsid w:val="7C294100"/>
    <w:rsid w:val="7C3519E0"/>
    <w:rsid w:val="7C557367"/>
    <w:rsid w:val="7C6475DD"/>
    <w:rsid w:val="7C744D4A"/>
    <w:rsid w:val="7C751BC3"/>
    <w:rsid w:val="7C78023E"/>
    <w:rsid w:val="7C7C08E7"/>
    <w:rsid w:val="7C8C475C"/>
    <w:rsid w:val="7C940E05"/>
    <w:rsid w:val="7C95623C"/>
    <w:rsid w:val="7CA1096D"/>
    <w:rsid w:val="7CA1705D"/>
    <w:rsid w:val="7CC84AA7"/>
    <w:rsid w:val="7CC9239E"/>
    <w:rsid w:val="7CCD18E1"/>
    <w:rsid w:val="7CE4796E"/>
    <w:rsid w:val="7CE93993"/>
    <w:rsid w:val="7CF65A74"/>
    <w:rsid w:val="7D093C1B"/>
    <w:rsid w:val="7D097ADD"/>
    <w:rsid w:val="7D0F0733"/>
    <w:rsid w:val="7D22357C"/>
    <w:rsid w:val="7D367DAD"/>
    <w:rsid w:val="7D3F45E7"/>
    <w:rsid w:val="7D4A78A5"/>
    <w:rsid w:val="7D5345E3"/>
    <w:rsid w:val="7D582D37"/>
    <w:rsid w:val="7D582DB2"/>
    <w:rsid w:val="7D5D307F"/>
    <w:rsid w:val="7D6308C3"/>
    <w:rsid w:val="7D714840"/>
    <w:rsid w:val="7D8B4F36"/>
    <w:rsid w:val="7DB61551"/>
    <w:rsid w:val="7DC8164F"/>
    <w:rsid w:val="7DCE36CF"/>
    <w:rsid w:val="7DD21264"/>
    <w:rsid w:val="7DE45253"/>
    <w:rsid w:val="7DE60A24"/>
    <w:rsid w:val="7DED67BB"/>
    <w:rsid w:val="7E00244F"/>
    <w:rsid w:val="7E0A158E"/>
    <w:rsid w:val="7E0C4D08"/>
    <w:rsid w:val="7E176860"/>
    <w:rsid w:val="7E1B1B69"/>
    <w:rsid w:val="7E1C3594"/>
    <w:rsid w:val="7E22214D"/>
    <w:rsid w:val="7E332B71"/>
    <w:rsid w:val="7E35139F"/>
    <w:rsid w:val="7E355400"/>
    <w:rsid w:val="7E381A02"/>
    <w:rsid w:val="7E481D51"/>
    <w:rsid w:val="7E57228F"/>
    <w:rsid w:val="7E737C3C"/>
    <w:rsid w:val="7E747289"/>
    <w:rsid w:val="7E7C155A"/>
    <w:rsid w:val="7E9A7C8D"/>
    <w:rsid w:val="7EA522EA"/>
    <w:rsid w:val="7EA73812"/>
    <w:rsid w:val="7EAE46B2"/>
    <w:rsid w:val="7EAF23BD"/>
    <w:rsid w:val="7EB14300"/>
    <w:rsid w:val="7EB366B6"/>
    <w:rsid w:val="7EB84AFC"/>
    <w:rsid w:val="7EB87A63"/>
    <w:rsid w:val="7ECB38BA"/>
    <w:rsid w:val="7ECF50CB"/>
    <w:rsid w:val="7ED23EC8"/>
    <w:rsid w:val="7ED54AE1"/>
    <w:rsid w:val="7ED76791"/>
    <w:rsid w:val="7EE169BD"/>
    <w:rsid w:val="7EE21A4F"/>
    <w:rsid w:val="7EE27B91"/>
    <w:rsid w:val="7EF319D9"/>
    <w:rsid w:val="7EFB0FD0"/>
    <w:rsid w:val="7F0A1DCA"/>
    <w:rsid w:val="7F151E18"/>
    <w:rsid w:val="7F1A466A"/>
    <w:rsid w:val="7F1B15F5"/>
    <w:rsid w:val="7F233418"/>
    <w:rsid w:val="7F2A4EC1"/>
    <w:rsid w:val="7F2B0FAA"/>
    <w:rsid w:val="7F2D7211"/>
    <w:rsid w:val="7F374B8B"/>
    <w:rsid w:val="7F404C0B"/>
    <w:rsid w:val="7F435B49"/>
    <w:rsid w:val="7F470D2D"/>
    <w:rsid w:val="7F507CA0"/>
    <w:rsid w:val="7F5A13B0"/>
    <w:rsid w:val="7F741915"/>
    <w:rsid w:val="7F78029B"/>
    <w:rsid w:val="7F795C13"/>
    <w:rsid w:val="7F871B39"/>
    <w:rsid w:val="7F8A4C7A"/>
    <w:rsid w:val="7F8E0C45"/>
    <w:rsid w:val="7F8F7815"/>
    <w:rsid w:val="7F96475F"/>
    <w:rsid w:val="7FB26464"/>
    <w:rsid w:val="7FC076E3"/>
    <w:rsid w:val="7FC92654"/>
    <w:rsid w:val="7FDE3B2A"/>
    <w:rsid w:val="7FEE4FE7"/>
    <w:rsid w:val="7FF2799C"/>
    <w:rsid w:val="7FFD194C"/>
    <w:rsid w:val="7FFF00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semiHidden="0" w:qFormat="1"/>
    <w:lsdException w:name="Body Text Indent" w:semiHidden="0" w:qFormat="1"/>
    <w:lsdException w:name="Subtitle" w:semiHidden="0" w:uiPriority="11" w:unhideWhenUsed="0" w:qFormat="1"/>
    <w:lsdException w:name="Body Text First Indent" w:semiHidden="0" w:qFormat="1"/>
    <w:lsdException w:name="Body Text First Indent 2" w:semiHidden="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Web)" w:semiHidden="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328A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1328A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328A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1328A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link w:val="Char"/>
    <w:qFormat/>
    <w:rsid w:val="001328A6"/>
    <w:pPr>
      <w:spacing w:before="240" w:after="60"/>
      <w:jc w:val="center"/>
      <w:outlineLvl w:val="0"/>
    </w:pPr>
    <w:rPr>
      <w:rFonts w:asciiTheme="majorHAnsi" w:eastAsia="宋体" w:hAnsiTheme="majorHAnsi" w:cstheme="majorBidi"/>
      <w:b/>
      <w:bCs/>
      <w:sz w:val="32"/>
      <w:szCs w:val="32"/>
    </w:rPr>
  </w:style>
  <w:style w:type="paragraph" w:styleId="a4">
    <w:name w:val="Body Text Indent"/>
    <w:basedOn w:val="a"/>
    <w:next w:val="20"/>
    <w:link w:val="Char0"/>
    <w:uiPriority w:val="99"/>
    <w:unhideWhenUsed/>
    <w:qFormat/>
    <w:rsid w:val="001328A6"/>
    <w:pPr>
      <w:spacing w:after="120"/>
      <w:ind w:leftChars="200" w:left="420"/>
    </w:pPr>
  </w:style>
  <w:style w:type="paragraph" w:styleId="20">
    <w:name w:val="toc 2"/>
    <w:basedOn w:val="a"/>
    <w:next w:val="a"/>
    <w:uiPriority w:val="39"/>
    <w:unhideWhenUsed/>
    <w:qFormat/>
    <w:rsid w:val="001328A6"/>
    <w:pPr>
      <w:ind w:leftChars="200" w:left="420"/>
    </w:pPr>
  </w:style>
  <w:style w:type="paragraph" w:styleId="7">
    <w:name w:val="toc 7"/>
    <w:basedOn w:val="a"/>
    <w:next w:val="a"/>
    <w:uiPriority w:val="39"/>
    <w:unhideWhenUsed/>
    <w:qFormat/>
    <w:rsid w:val="001328A6"/>
    <w:pPr>
      <w:ind w:leftChars="1200" w:left="2520"/>
    </w:pPr>
  </w:style>
  <w:style w:type="paragraph" w:styleId="a5">
    <w:name w:val="Document Map"/>
    <w:basedOn w:val="a"/>
    <w:link w:val="Char1"/>
    <w:uiPriority w:val="99"/>
    <w:unhideWhenUsed/>
    <w:qFormat/>
    <w:rsid w:val="001328A6"/>
    <w:rPr>
      <w:rFonts w:ascii="宋体" w:eastAsia="宋体"/>
      <w:sz w:val="18"/>
      <w:szCs w:val="18"/>
    </w:rPr>
  </w:style>
  <w:style w:type="paragraph" w:styleId="a6">
    <w:name w:val="annotation text"/>
    <w:basedOn w:val="a"/>
    <w:qFormat/>
    <w:rsid w:val="001328A6"/>
    <w:pPr>
      <w:jc w:val="left"/>
    </w:pPr>
  </w:style>
  <w:style w:type="paragraph" w:styleId="a7">
    <w:name w:val="Body Text"/>
    <w:basedOn w:val="a"/>
    <w:link w:val="Char2"/>
    <w:uiPriority w:val="99"/>
    <w:unhideWhenUsed/>
    <w:qFormat/>
    <w:rsid w:val="001328A6"/>
    <w:pPr>
      <w:spacing w:after="120"/>
    </w:pPr>
  </w:style>
  <w:style w:type="paragraph" w:styleId="5">
    <w:name w:val="toc 5"/>
    <w:basedOn w:val="a"/>
    <w:next w:val="a"/>
    <w:uiPriority w:val="39"/>
    <w:unhideWhenUsed/>
    <w:qFormat/>
    <w:rsid w:val="001328A6"/>
    <w:pPr>
      <w:ind w:leftChars="800" w:left="1680"/>
    </w:pPr>
  </w:style>
  <w:style w:type="paragraph" w:styleId="30">
    <w:name w:val="toc 3"/>
    <w:basedOn w:val="a"/>
    <w:next w:val="a"/>
    <w:uiPriority w:val="39"/>
    <w:unhideWhenUsed/>
    <w:qFormat/>
    <w:rsid w:val="001328A6"/>
    <w:pPr>
      <w:ind w:leftChars="400" w:left="840"/>
    </w:pPr>
  </w:style>
  <w:style w:type="paragraph" w:styleId="a8">
    <w:name w:val="Plain Text"/>
    <w:basedOn w:val="a"/>
    <w:qFormat/>
    <w:rsid w:val="001328A6"/>
    <w:rPr>
      <w:rFonts w:ascii="宋体" w:hAnsi="Courier New" w:cs="宋体"/>
      <w:szCs w:val="21"/>
    </w:rPr>
  </w:style>
  <w:style w:type="paragraph" w:styleId="8">
    <w:name w:val="toc 8"/>
    <w:basedOn w:val="a"/>
    <w:next w:val="a"/>
    <w:uiPriority w:val="39"/>
    <w:unhideWhenUsed/>
    <w:qFormat/>
    <w:rsid w:val="001328A6"/>
    <w:pPr>
      <w:ind w:leftChars="1400" w:left="2940"/>
    </w:pPr>
  </w:style>
  <w:style w:type="paragraph" w:styleId="a9">
    <w:name w:val="Balloon Text"/>
    <w:basedOn w:val="a"/>
    <w:link w:val="Char3"/>
    <w:uiPriority w:val="99"/>
    <w:unhideWhenUsed/>
    <w:qFormat/>
    <w:rsid w:val="001328A6"/>
    <w:rPr>
      <w:sz w:val="18"/>
      <w:szCs w:val="18"/>
    </w:rPr>
  </w:style>
  <w:style w:type="paragraph" w:styleId="aa">
    <w:name w:val="footer"/>
    <w:basedOn w:val="a"/>
    <w:link w:val="Char4"/>
    <w:uiPriority w:val="99"/>
    <w:unhideWhenUsed/>
    <w:qFormat/>
    <w:rsid w:val="001328A6"/>
    <w:pPr>
      <w:tabs>
        <w:tab w:val="center" w:pos="4153"/>
        <w:tab w:val="right" w:pos="8306"/>
      </w:tabs>
      <w:snapToGrid w:val="0"/>
      <w:jc w:val="left"/>
    </w:pPr>
    <w:rPr>
      <w:sz w:val="18"/>
      <w:szCs w:val="18"/>
    </w:rPr>
  </w:style>
  <w:style w:type="paragraph" w:styleId="ab">
    <w:name w:val="header"/>
    <w:basedOn w:val="a"/>
    <w:link w:val="Char5"/>
    <w:uiPriority w:val="99"/>
    <w:unhideWhenUsed/>
    <w:qFormat/>
    <w:rsid w:val="001328A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1328A6"/>
  </w:style>
  <w:style w:type="paragraph" w:styleId="4">
    <w:name w:val="toc 4"/>
    <w:basedOn w:val="a"/>
    <w:next w:val="a"/>
    <w:uiPriority w:val="39"/>
    <w:unhideWhenUsed/>
    <w:qFormat/>
    <w:rsid w:val="001328A6"/>
    <w:pPr>
      <w:ind w:leftChars="600" w:left="1260"/>
    </w:pPr>
  </w:style>
  <w:style w:type="paragraph" w:styleId="6">
    <w:name w:val="toc 6"/>
    <w:basedOn w:val="a"/>
    <w:next w:val="a"/>
    <w:uiPriority w:val="39"/>
    <w:unhideWhenUsed/>
    <w:qFormat/>
    <w:rsid w:val="001328A6"/>
    <w:pPr>
      <w:ind w:leftChars="1000" w:left="2100"/>
    </w:pPr>
  </w:style>
  <w:style w:type="paragraph" w:styleId="9">
    <w:name w:val="toc 9"/>
    <w:basedOn w:val="a"/>
    <w:next w:val="a"/>
    <w:uiPriority w:val="39"/>
    <w:unhideWhenUsed/>
    <w:qFormat/>
    <w:rsid w:val="001328A6"/>
    <w:pPr>
      <w:ind w:leftChars="1600" w:left="3360"/>
    </w:pPr>
  </w:style>
  <w:style w:type="paragraph" w:styleId="ac">
    <w:name w:val="Normal (Web)"/>
    <w:basedOn w:val="a"/>
    <w:uiPriority w:val="99"/>
    <w:qFormat/>
    <w:rsid w:val="001328A6"/>
    <w:pPr>
      <w:widowControl/>
      <w:spacing w:before="100" w:beforeAutospacing="1" w:after="100" w:afterAutospacing="1"/>
      <w:jc w:val="left"/>
    </w:pPr>
    <w:rPr>
      <w:rFonts w:ascii="宋体" w:eastAsia="宋体" w:hAnsi="宋体" w:cs="宋体"/>
      <w:kern w:val="0"/>
      <w:sz w:val="24"/>
      <w:szCs w:val="24"/>
    </w:rPr>
  </w:style>
  <w:style w:type="paragraph" w:styleId="ad">
    <w:name w:val="Body Text First Indent"/>
    <w:basedOn w:val="a7"/>
    <w:link w:val="Char6"/>
    <w:uiPriority w:val="99"/>
    <w:unhideWhenUsed/>
    <w:qFormat/>
    <w:rsid w:val="001328A6"/>
    <w:pPr>
      <w:ind w:firstLineChars="100" w:firstLine="420"/>
    </w:pPr>
  </w:style>
  <w:style w:type="paragraph" w:styleId="21">
    <w:name w:val="Body Text First Indent 2"/>
    <w:basedOn w:val="a4"/>
    <w:next w:val="ad"/>
    <w:link w:val="2Char0"/>
    <w:uiPriority w:val="99"/>
    <w:unhideWhenUsed/>
    <w:qFormat/>
    <w:rsid w:val="001328A6"/>
    <w:pPr>
      <w:widowControl/>
      <w:spacing w:after="0"/>
      <w:ind w:leftChars="0" w:left="0" w:firstLineChars="200" w:firstLine="420"/>
    </w:pPr>
    <w:rPr>
      <w:rFonts w:ascii="仿宋_GB2312" w:eastAsia="仿宋_GB2312"/>
      <w:sz w:val="32"/>
      <w:szCs w:val="21"/>
    </w:rPr>
  </w:style>
  <w:style w:type="table" w:styleId="ae">
    <w:name w:val="Table Grid"/>
    <w:basedOn w:val="a2"/>
    <w:uiPriority w:val="59"/>
    <w:qFormat/>
    <w:rsid w:val="001328A6"/>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uiPriority w:val="22"/>
    <w:qFormat/>
    <w:rsid w:val="001328A6"/>
    <w:rPr>
      <w:b/>
      <w:bCs/>
    </w:rPr>
  </w:style>
  <w:style w:type="character" w:styleId="af0">
    <w:name w:val="Emphasis"/>
    <w:basedOn w:val="a1"/>
    <w:uiPriority w:val="20"/>
    <w:qFormat/>
    <w:rsid w:val="001328A6"/>
    <w:rPr>
      <w:i/>
      <w:iCs/>
    </w:rPr>
  </w:style>
  <w:style w:type="character" w:styleId="af1">
    <w:name w:val="Hyperlink"/>
    <w:basedOn w:val="a1"/>
    <w:uiPriority w:val="99"/>
    <w:unhideWhenUsed/>
    <w:qFormat/>
    <w:rsid w:val="001328A6"/>
    <w:rPr>
      <w:color w:val="0000FF" w:themeColor="hyperlink"/>
      <w:u w:val="single"/>
    </w:rPr>
  </w:style>
  <w:style w:type="character" w:styleId="af2">
    <w:name w:val="annotation reference"/>
    <w:basedOn w:val="a1"/>
    <w:uiPriority w:val="99"/>
    <w:semiHidden/>
    <w:unhideWhenUsed/>
    <w:qFormat/>
    <w:rsid w:val="001328A6"/>
    <w:rPr>
      <w:sz w:val="21"/>
      <w:szCs w:val="21"/>
    </w:rPr>
  </w:style>
  <w:style w:type="paragraph" w:customStyle="1" w:styleId="11">
    <w:name w:val="列出段落1"/>
    <w:basedOn w:val="a"/>
    <w:uiPriority w:val="34"/>
    <w:qFormat/>
    <w:rsid w:val="001328A6"/>
    <w:pPr>
      <w:ind w:firstLineChars="200" w:firstLine="420"/>
    </w:pPr>
  </w:style>
  <w:style w:type="character" w:customStyle="1" w:styleId="Char5">
    <w:name w:val="页眉 Char"/>
    <w:basedOn w:val="a1"/>
    <w:link w:val="ab"/>
    <w:uiPriority w:val="99"/>
    <w:qFormat/>
    <w:rsid w:val="001328A6"/>
    <w:rPr>
      <w:rFonts w:asciiTheme="minorHAnsi" w:eastAsiaTheme="minorEastAsia" w:hAnsiTheme="minorHAnsi" w:cstheme="minorBidi"/>
      <w:kern w:val="2"/>
      <w:sz w:val="18"/>
      <w:szCs w:val="18"/>
    </w:rPr>
  </w:style>
  <w:style w:type="character" w:customStyle="1" w:styleId="Char4">
    <w:name w:val="页脚 Char"/>
    <w:basedOn w:val="a1"/>
    <w:link w:val="aa"/>
    <w:uiPriority w:val="99"/>
    <w:qFormat/>
    <w:rsid w:val="001328A6"/>
    <w:rPr>
      <w:rFonts w:asciiTheme="minorHAnsi" w:eastAsiaTheme="minorEastAsia" w:hAnsiTheme="minorHAnsi" w:cstheme="minorBidi"/>
      <w:kern w:val="2"/>
      <w:sz w:val="18"/>
      <w:szCs w:val="18"/>
    </w:rPr>
  </w:style>
  <w:style w:type="paragraph" w:customStyle="1" w:styleId="CharCharCharCharChar">
    <w:name w:val="Char Char Char Char Char"/>
    <w:basedOn w:val="a"/>
    <w:qFormat/>
    <w:rsid w:val="001328A6"/>
    <w:pPr>
      <w:widowControl/>
      <w:spacing w:after="160" w:line="240" w:lineRule="exact"/>
      <w:jc w:val="left"/>
    </w:pPr>
    <w:rPr>
      <w:rFonts w:ascii="Times New Roman" w:eastAsia="宋体" w:hAnsi="Times New Roman" w:cs="Times New Roman"/>
      <w:szCs w:val="24"/>
    </w:rPr>
  </w:style>
  <w:style w:type="paragraph" w:customStyle="1" w:styleId="Default">
    <w:name w:val="Default"/>
    <w:qFormat/>
    <w:rsid w:val="001328A6"/>
    <w:pPr>
      <w:widowControl w:val="0"/>
      <w:autoSpaceDE w:val="0"/>
      <w:autoSpaceDN w:val="0"/>
      <w:adjustRightInd w:val="0"/>
    </w:pPr>
    <w:rPr>
      <w:rFonts w:ascii="仿宋_GB2312" w:hAnsi="仿宋_GB2312" w:cs="仿宋_GB2312"/>
      <w:color w:val="000000"/>
      <w:sz w:val="24"/>
      <w:szCs w:val="24"/>
    </w:rPr>
  </w:style>
  <w:style w:type="paragraph" w:customStyle="1" w:styleId="CharCharCharCharChar1">
    <w:name w:val="Char Char Char Char Char1"/>
    <w:basedOn w:val="a"/>
    <w:qFormat/>
    <w:rsid w:val="001328A6"/>
    <w:pPr>
      <w:widowControl/>
      <w:spacing w:after="160" w:line="240" w:lineRule="exact"/>
      <w:jc w:val="left"/>
    </w:pPr>
    <w:rPr>
      <w:rFonts w:ascii="Times New Roman" w:eastAsia="宋体" w:hAnsi="Times New Roman" w:cs="Times New Roman"/>
      <w:szCs w:val="24"/>
    </w:rPr>
  </w:style>
  <w:style w:type="character" w:customStyle="1" w:styleId="Char">
    <w:name w:val="标题 Char"/>
    <w:basedOn w:val="a1"/>
    <w:link w:val="a0"/>
    <w:uiPriority w:val="10"/>
    <w:qFormat/>
    <w:rsid w:val="001328A6"/>
    <w:rPr>
      <w:rFonts w:asciiTheme="majorHAnsi" w:hAnsiTheme="majorHAnsi" w:cstheme="majorBidi"/>
      <w:b/>
      <w:bCs/>
      <w:kern w:val="2"/>
      <w:sz w:val="32"/>
      <w:szCs w:val="32"/>
    </w:rPr>
  </w:style>
  <w:style w:type="paragraph" w:customStyle="1" w:styleId="CharCharCharCharChar2">
    <w:name w:val="Char Char Char Char Char2"/>
    <w:basedOn w:val="a"/>
    <w:qFormat/>
    <w:rsid w:val="001328A6"/>
    <w:pPr>
      <w:widowControl/>
      <w:spacing w:after="160" w:line="240" w:lineRule="exact"/>
      <w:jc w:val="left"/>
    </w:pPr>
    <w:rPr>
      <w:rFonts w:ascii="Times New Roman" w:eastAsia="宋体" w:hAnsi="Times New Roman" w:cs="Times New Roman"/>
      <w:szCs w:val="24"/>
    </w:rPr>
  </w:style>
  <w:style w:type="character" w:customStyle="1" w:styleId="1Char">
    <w:name w:val="标题 1 Char"/>
    <w:basedOn w:val="a1"/>
    <w:link w:val="1"/>
    <w:uiPriority w:val="9"/>
    <w:qFormat/>
    <w:rsid w:val="001328A6"/>
    <w:rPr>
      <w:rFonts w:asciiTheme="minorHAnsi" w:eastAsiaTheme="minorEastAsia" w:hAnsiTheme="minorHAnsi" w:cstheme="minorBidi"/>
      <w:b/>
      <w:bCs/>
      <w:kern w:val="44"/>
      <w:sz w:val="44"/>
      <w:szCs w:val="44"/>
    </w:rPr>
  </w:style>
  <w:style w:type="character" w:customStyle="1" w:styleId="2Char">
    <w:name w:val="标题 2 Char"/>
    <w:basedOn w:val="a1"/>
    <w:link w:val="2"/>
    <w:uiPriority w:val="9"/>
    <w:qFormat/>
    <w:rsid w:val="001328A6"/>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1328A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批注框文本 Char"/>
    <w:basedOn w:val="a1"/>
    <w:link w:val="a9"/>
    <w:uiPriority w:val="99"/>
    <w:semiHidden/>
    <w:qFormat/>
    <w:rsid w:val="001328A6"/>
    <w:rPr>
      <w:rFonts w:asciiTheme="minorHAnsi" w:eastAsiaTheme="minorEastAsia" w:hAnsiTheme="minorHAnsi" w:cstheme="minorBidi"/>
      <w:kern w:val="2"/>
      <w:sz w:val="18"/>
      <w:szCs w:val="18"/>
    </w:rPr>
  </w:style>
  <w:style w:type="paragraph" w:customStyle="1" w:styleId="22">
    <w:name w:val="列出段落2"/>
    <w:basedOn w:val="a"/>
    <w:uiPriority w:val="34"/>
    <w:unhideWhenUsed/>
    <w:qFormat/>
    <w:rsid w:val="001328A6"/>
    <w:pPr>
      <w:ind w:firstLineChars="200" w:firstLine="420"/>
    </w:pPr>
  </w:style>
  <w:style w:type="paragraph" w:customStyle="1" w:styleId="Char7">
    <w:name w:val="Char"/>
    <w:basedOn w:val="ab"/>
    <w:next w:val="aa"/>
    <w:qFormat/>
    <w:rsid w:val="001328A6"/>
    <w:pPr>
      <w:pBdr>
        <w:bottom w:val="none" w:sz="0" w:space="0" w:color="auto"/>
      </w:pBdr>
      <w:tabs>
        <w:tab w:val="clear" w:pos="4153"/>
        <w:tab w:val="clear" w:pos="8306"/>
      </w:tabs>
      <w:snapToGrid/>
      <w:spacing w:line="596" w:lineRule="exact"/>
      <w:ind w:firstLineChars="200" w:firstLine="622"/>
      <w:jc w:val="both"/>
    </w:pPr>
    <w:rPr>
      <w:rFonts w:ascii="Times New Roman" w:eastAsia="仿宋_GB2312" w:hAnsi="Times New Roman" w:cs="Times New Roman"/>
      <w:bCs/>
      <w:sz w:val="32"/>
      <w:szCs w:val="32"/>
    </w:rPr>
  </w:style>
  <w:style w:type="character" w:customStyle="1" w:styleId="Char1">
    <w:name w:val="文档结构图 Char"/>
    <w:basedOn w:val="a1"/>
    <w:link w:val="a5"/>
    <w:uiPriority w:val="99"/>
    <w:semiHidden/>
    <w:qFormat/>
    <w:rsid w:val="001328A6"/>
    <w:rPr>
      <w:rFonts w:ascii="宋体" w:hAnsiTheme="minorHAnsi" w:cstheme="minorBidi"/>
      <w:kern w:val="2"/>
      <w:sz w:val="18"/>
      <w:szCs w:val="18"/>
    </w:rPr>
  </w:style>
  <w:style w:type="character" w:customStyle="1" w:styleId="Char0">
    <w:name w:val="正文文本缩进 Char"/>
    <w:basedOn w:val="a1"/>
    <w:link w:val="a4"/>
    <w:uiPriority w:val="99"/>
    <w:semiHidden/>
    <w:qFormat/>
    <w:rsid w:val="001328A6"/>
    <w:rPr>
      <w:rFonts w:asciiTheme="minorHAnsi" w:eastAsiaTheme="minorEastAsia" w:hAnsiTheme="minorHAnsi" w:cstheme="minorBidi"/>
      <w:kern w:val="2"/>
      <w:sz w:val="21"/>
      <w:szCs w:val="22"/>
    </w:rPr>
  </w:style>
  <w:style w:type="character" w:customStyle="1" w:styleId="2Char0">
    <w:name w:val="正文首行缩进 2 Char"/>
    <w:basedOn w:val="Char0"/>
    <w:link w:val="21"/>
    <w:uiPriority w:val="99"/>
    <w:qFormat/>
    <w:rsid w:val="001328A6"/>
    <w:rPr>
      <w:rFonts w:ascii="仿宋_GB2312" w:eastAsia="仿宋_GB2312" w:hAnsiTheme="minorHAnsi" w:cstheme="minorBidi"/>
      <w:kern w:val="2"/>
      <w:sz w:val="32"/>
      <w:szCs w:val="21"/>
    </w:rPr>
  </w:style>
  <w:style w:type="character" w:customStyle="1" w:styleId="Char2">
    <w:name w:val="正文文本 Char"/>
    <w:basedOn w:val="a1"/>
    <w:link w:val="a7"/>
    <w:uiPriority w:val="99"/>
    <w:semiHidden/>
    <w:qFormat/>
    <w:rsid w:val="001328A6"/>
    <w:rPr>
      <w:rFonts w:asciiTheme="minorHAnsi" w:eastAsiaTheme="minorEastAsia" w:hAnsiTheme="minorHAnsi" w:cstheme="minorBidi"/>
      <w:kern w:val="2"/>
      <w:sz w:val="21"/>
      <w:szCs w:val="22"/>
    </w:rPr>
  </w:style>
  <w:style w:type="character" w:customStyle="1" w:styleId="Char6">
    <w:name w:val="正文首行缩进 Char"/>
    <w:basedOn w:val="Char2"/>
    <w:link w:val="ad"/>
    <w:uiPriority w:val="99"/>
    <w:semiHidden/>
    <w:qFormat/>
    <w:rsid w:val="001328A6"/>
    <w:rPr>
      <w:rFonts w:asciiTheme="minorHAnsi" w:eastAsiaTheme="minorEastAsia" w:hAnsiTheme="minorHAnsi" w:cstheme="minorBidi"/>
      <w:kern w:val="2"/>
      <w:sz w:val="21"/>
      <w:szCs w:val="22"/>
    </w:rPr>
  </w:style>
  <w:style w:type="character" w:customStyle="1" w:styleId="3Char">
    <w:name w:val="标题 3 Char"/>
    <w:basedOn w:val="a1"/>
    <w:link w:val="3"/>
    <w:uiPriority w:val="9"/>
    <w:semiHidden/>
    <w:qFormat/>
    <w:rsid w:val="001328A6"/>
    <w:rPr>
      <w:rFonts w:asciiTheme="minorHAnsi" w:eastAsiaTheme="minorEastAsia" w:hAnsiTheme="minorHAnsi" w:cstheme="minorBidi"/>
      <w:b/>
      <w:bCs/>
      <w:kern w:val="2"/>
      <w:sz w:val="32"/>
      <w:szCs w:val="32"/>
    </w:rPr>
  </w:style>
  <w:style w:type="paragraph" w:styleId="af3">
    <w:name w:val="List Paragraph"/>
    <w:basedOn w:val="a"/>
    <w:uiPriority w:val="99"/>
    <w:qFormat/>
    <w:rsid w:val="001328A6"/>
    <w:pPr>
      <w:ind w:firstLineChars="200" w:firstLine="420"/>
    </w:pPr>
  </w:style>
  <w:style w:type="character" w:customStyle="1" w:styleId="font11">
    <w:name w:val="font11"/>
    <w:basedOn w:val="a1"/>
    <w:qFormat/>
    <w:rsid w:val="001328A6"/>
    <w:rPr>
      <w:rFonts w:ascii="方正小标宋简体" w:eastAsia="方正小标宋简体" w:hAnsi="方正小标宋简体" w:cs="方正小标宋简体"/>
      <w:color w:val="000000"/>
      <w:sz w:val="32"/>
      <w:szCs w:val="32"/>
      <w:u w:val="none"/>
    </w:rPr>
  </w:style>
  <w:style w:type="character" w:customStyle="1" w:styleId="font112">
    <w:name w:val="font112"/>
    <w:basedOn w:val="a1"/>
    <w:qFormat/>
    <w:rsid w:val="001328A6"/>
    <w:rPr>
      <w:rFonts w:ascii="宋体" w:eastAsia="宋体" w:hAnsi="宋体" w:cs="宋体" w:hint="eastAsia"/>
      <w:color w:val="000000"/>
      <w:sz w:val="24"/>
      <w:szCs w:val="24"/>
      <w:u w:val="none"/>
    </w:rPr>
  </w:style>
  <w:style w:type="paragraph" w:customStyle="1" w:styleId="WPSOffice1">
    <w:name w:val="WPSOffice手动目录 1"/>
    <w:qFormat/>
    <w:rsid w:val="001328A6"/>
  </w:style>
  <w:style w:type="paragraph" w:customStyle="1" w:styleId="WPSOffice2">
    <w:name w:val="WPSOffice手动目录 2"/>
    <w:qFormat/>
    <w:rsid w:val="001328A6"/>
    <w:pPr>
      <w:ind w:leftChars="200" w:left="200"/>
    </w:pPr>
  </w:style>
  <w:style w:type="paragraph" w:customStyle="1" w:styleId="WPSOffice3">
    <w:name w:val="WPSOffice手动目录 3"/>
    <w:qFormat/>
    <w:rsid w:val="001328A6"/>
    <w:pPr>
      <w:ind w:leftChars="400" w:left="4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7C344B-8616-4B19-BC68-0A29B723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137</Pages>
  <Words>10267</Words>
  <Characters>58524</Characters>
  <Application>Microsoft Office Word</Application>
  <DocSecurity>0</DocSecurity>
  <Lines>487</Lines>
  <Paragraphs>137</Paragraphs>
  <ScaleCrop>false</ScaleCrop>
  <Company>Microsoft</Company>
  <LinksUpToDate>false</LinksUpToDate>
  <CharactersWithSpaces>68654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zyp</dc:creator>
  <cp:lastModifiedBy>PC</cp:lastModifiedBy>
  <cp:revision>166</cp:revision>
  <cp:lastPrinted>2021-09-08T03:06:00Z</cp:lastPrinted>
  <dcterms:created xsi:type="dcterms:W3CDTF">2020-06-02T02:41:00Z</dcterms:created>
  <dcterms:modified xsi:type="dcterms:W3CDTF">2021-09-14T07:57:00Z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557496292_cloud</vt:lpwstr>
  </property>
  <property fmtid="{D5CDD505-2E9C-101B-9397-08002B2CF9AE}" pid="4" name="ICV">
    <vt:lpwstr>BCBD37B36C6D475489C2875F134041A4</vt:lpwstr>
  </property>
</Properties>
</file>